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29B7" w14:textId="6BF24703" w:rsidR="00F35637" w:rsidRPr="00962F79" w:rsidRDefault="00E847FF" w:rsidP="00E77BC1">
      <w:pPr>
        <w:rPr>
          <w:color w:val="1F497D" w:themeColor="text2"/>
        </w:rPr>
      </w:pPr>
      <w:r w:rsidRPr="00962F79">
        <w:rPr>
          <w:color w:val="1F497D" w:themeColor="text2"/>
        </w:rPr>
        <w:t xml:space="preserve">Category: </w:t>
      </w:r>
      <w:r w:rsidR="00A73445" w:rsidRPr="00962F79">
        <w:rPr>
          <w:color w:val="1F497D" w:themeColor="text2"/>
        </w:rPr>
        <w:t>Hair Color</w:t>
      </w:r>
      <w:r w:rsidR="00E77BC1" w:rsidRPr="00962F79">
        <w:rPr>
          <w:color w:val="1F497D" w:themeColor="text2"/>
        </w:rPr>
        <w:t xml:space="preserve"> </w:t>
      </w:r>
    </w:p>
    <w:p w14:paraId="0B760849" w14:textId="77777777" w:rsidR="00F35637" w:rsidRPr="00962F79" w:rsidRDefault="00F35637" w:rsidP="00E77BC1">
      <w:pPr>
        <w:rPr>
          <w:color w:val="CA1E3D"/>
        </w:rPr>
      </w:pPr>
    </w:p>
    <w:p w14:paraId="4C958FE7" w14:textId="03186254" w:rsidR="00F67B20" w:rsidRPr="00962F79" w:rsidRDefault="00317DFA" w:rsidP="00E77BC1">
      <w:pPr>
        <w:rPr>
          <w:b/>
          <w:color w:val="CA1E3D"/>
        </w:rPr>
      </w:pPr>
      <w:r w:rsidRPr="00962F79">
        <w:rPr>
          <w:b/>
          <w:color w:val="CA1E3D"/>
        </w:rPr>
        <w:t>LF1-</w:t>
      </w:r>
      <w:r w:rsidR="0051103A" w:rsidRPr="00962F79">
        <w:rPr>
          <w:b/>
          <w:color w:val="CA1E3D"/>
        </w:rPr>
        <w:t>145</w:t>
      </w:r>
      <w:r w:rsidR="004B119E" w:rsidRPr="00962F79">
        <w:rPr>
          <w:b/>
          <w:color w:val="CA1E3D"/>
        </w:rPr>
        <w:t>: B</w:t>
      </w:r>
      <w:r w:rsidR="0051103A" w:rsidRPr="00962F79">
        <w:rPr>
          <w:b/>
          <w:color w:val="CA1E3D"/>
        </w:rPr>
        <w:t>rown</w:t>
      </w:r>
      <w:r w:rsidR="004B119E" w:rsidRPr="00962F79">
        <w:rPr>
          <w:b/>
          <w:color w:val="CA1E3D"/>
        </w:rPr>
        <w:t xml:space="preserve"> Root Touch-Up Stick</w:t>
      </w:r>
    </w:p>
    <w:tbl>
      <w:tblPr>
        <w:tblStyle w:val="LightGrid"/>
        <w:tblW w:w="7138" w:type="dxa"/>
        <w:tblInd w:w="-10" w:type="dxa"/>
        <w:tblLook w:val="04A0" w:firstRow="1" w:lastRow="0" w:firstColumn="1" w:lastColumn="0" w:noHBand="0" w:noVBand="1"/>
      </w:tblPr>
      <w:tblGrid>
        <w:gridCol w:w="1861"/>
        <w:gridCol w:w="2909"/>
        <w:gridCol w:w="1578"/>
        <w:gridCol w:w="790"/>
      </w:tblGrid>
      <w:tr w:rsidR="003667F6" w:rsidRPr="00372E52" w14:paraId="6D9AB551" w14:textId="77777777" w:rsidTr="0051103A">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04E91868" w14:textId="77777777" w:rsidR="003667F6" w:rsidRPr="00372E52" w:rsidRDefault="003667F6" w:rsidP="0051103A">
            <w:pPr>
              <w:jc w:val="center"/>
              <w:rPr>
                <w:rFonts w:ascii="Times New Roman" w:hAnsi="Times New Roman" w:cs="Times New Roman"/>
                <w:color w:val="000000"/>
                <w:sz w:val="16"/>
                <w:szCs w:val="16"/>
              </w:rPr>
            </w:pPr>
            <w:r w:rsidRPr="00372E52">
              <w:rPr>
                <w:rFonts w:ascii="Times New Roman" w:hAnsi="Times New Roman" w:cs="Times New Roman"/>
                <w:color w:val="000000"/>
                <w:sz w:val="16"/>
                <w:szCs w:val="16"/>
              </w:rPr>
              <w:t>Ingredient</w:t>
            </w:r>
          </w:p>
        </w:tc>
        <w:tc>
          <w:tcPr>
            <w:tcW w:w="2909" w:type="dxa"/>
            <w:vAlign w:val="center"/>
            <w:hideMark/>
          </w:tcPr>
          <w:p w14:paraId="7D59F6C3" w14:textId="77777777" w:rsidR="003667F6" w:rsidRPr="00372E52" w:rsidRDefault="003667F6" w:rsidP="005110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72E52">
              <w:rPr>
                <w:rFonts w:ascii="Times New Roman" w:hAnsi="Times New Roman" w:cs="Times New Roman"/>
                <w:color w:val="000000"/>
                <w:sz w:val="16"/>
                <w:szCs w:val="16"/>
              </w:rPr>
              <w:t>INCI</w:t>
            </w:r>
          </w:p>
        </w:tc>
        <w:tc>
          <w:tcPr>
            <w:tcW w:w="1578" w:type="dxa"/>
            <w:vAlign w:val="center"/>
            <w:hideMark/>
          </w:tcPr>
          <w:p w14:paraId="7F5CA4C0" w14:textId="77777777" w:rsidR="003667F6" w:rsidRPr="00372E52" w:rsidRDefault="003667F6" w:rsidP="005110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72E52">
              <w:rPr>
                <w:rFonts w:ascii="Times New Roman" w:hAnsi="Times New Roman" w:cs="Times New Roman"/>
                <w:color w:val="000000"/>
                <w:sz w:val="16"/>
                <w:szCs w:val="16"/>
              </w:rPr>
              <w:t>Supplier</w:t>
            </w:r>
          </w:p>
        </w:tc>
        <w:tc>
          <w:tcPr>
            <w:tcW w:w="790" w:type="dxa"/>
            <w:vAlign w:val="center"/>
            <w:hideMark/>
          </w:tcPr>
          <w:p w14:paraId="20295B27" w14:textId="77777777" w:rsidR="003667F6" w:rsidRPr="00372E52" w:rsidRDefault="003667F6" w:rsidP="005110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72E52">
              <w:rPr>
                <w:rFonts w:ascii="Times New Roman" w:hAnsi="Times New Roman" w:cs="Times New Roman"/>
                <w:color w:val="000000"/>
                <w:sz w:val="16"/>
                <w:szCs w:val="16"/>
              </w:rPr>
              <w:t>W/W%</w:t>
            </w:r>
          </w:p>
        </w:tc>
      </w:tr>
      <w:tr w:rsidR="003667F6" w:rsidRPr="00372E52" w14:paraId="1507B69A"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632ACF92" w14:textId="77777777" w:rsidR="003667F6" w:rsidRPr="00372E52" w:rsidRDefault="003667F6" w:rsidP="0051103A">
            <w:pPr>
              <w:jc w:val="center"/>
              <w:rPr>
                <w:rFonts w:ascii="Times New Roman" w:hAnsi="Times New Roman" w:cs="Times New Roman"/>
                <w:color w:val="1F497D"/>
                <w:sz w:val="16"/>
                <w:szCs w:val="16"/>
              </w:rPr>
            </w:pPr>
            <w:r w:rsidRPr="00962F79">
              <w:rPr>
                <w:rFonts w:ascii="Times New Roman" w:hAnsi="Times New Roman" w:cs="Times New Roman"/>
                <w:color w:val="1F497D" w:themeColor="text2"/>
                <w:sz w:val="16"/>
                <w:szCs w:val="16"/>
              </w:rPr>
              <w:t>Phase A (aqueous)</w:t>
            </w:r>
          </w:p>
        </w:tc>
        <w:tc>
          <w:tcPr>
            <w:tcW w:w="2909" w:type="dxa"/>
            <w:vAlign w:val="center"/>
            <w:hideMark/>
          </w:tcPr>
          <w:p w14:paraId="7C6A0AA6" w14:textId="2A175481" w:rsidR="003667F6" w:rsidRPr="00372E52" w:rsidRDefault="003667F6" w:rsidP="0051103A">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578" w:type="dxa"/>
            <w:vAlign w:val="center"/>
            <w:hideMark/>
          </w:tcPr>
          <w:p w14:paraId="0B2770C1" w14:textId="5C11AB5C" w:rsidR="003667F6" w:rsidRPr="00372E52" w:rsidRDefault="003667F6" w:rsidP="0051103A">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790" w:type="dxa"/>
            <w:vAlign w:val="center"/>
            <w:hideMark/>
          </w:tcPr>
          <w:p w14:paraId="031D45B4" w14:textId="2CE7C1BD" w:rsidR="003667F6" w:rsidRPr="00372E52" w:rsidRDefault="003667F6" w:rsidP="0051103A">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r>
      <w:tr w:rsidR="003F3786" w:rsidRPr="00372E52" w14:paraId="57D85F45" w14:textId="77777777" w:rsidTr="0051103A">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582B4C7D" w14:textId="5C96DBC8" w:rsidR="003F3786" w:rsidRPr="00372E52" w:rsidRDefault="003F3786" w:rsidP="0051103A">
            <w:pPr>
              <w:jc w:val="center"/>
              <w:rPr>
                <w:rFonts w:ascii="Times New Roman" w:hAnsi="Times New Roman" w:cs="Times New Roman"/>
                <w:b w:val="0"/>
                <w:bCs w:val="0"/>
                <w:sz w:val="16"/>
                <w:szCs w:val="16"/>
              </w:rPr>
            </w:pPr>
            <w:proofErr w:type="spellStart"/>
            <w:r w:rsidRPr="00372E52">
              <w:rPr>
                <w:rFonts w:ascii="Times New Roman" w:hAnsi="Times New Roman" w:cs="Times New Roman"/>
                <w:b w:val="0"/>
                <w:bCs w:val="0"/>
                <w:sz w:val="16"/>
                <w:szCs w:val="16"/>
              </w:rPr>
              <w:t>Nulastic</w:t>
            </w:r>
            <w:proofErr w:type="spellEnd"/>
            <w:r w:rsidRPr="00372E52">
              <w:rPr>
                <w:rFonts w:ascii="Times New Roman" w:hAnsi="Times New Roman" w:cs="Times New Roman"/>
                <w:b w:val="0"/>
                <w:bCs w:val="0"/>
                <w:sz w:val="16"/>
                <w:szCs w:val="16"/>
              </w:rPr>
              <w:t xml:space="preserve"> Slip D99-9</w:t>
            </w:r>
          </w:p>
        </w:tc>
        <w:tc>
          <w:tcPr>
            <w:tcW w:w="2909" w:type="dxa"/>
            <w:vAlign w:val="center"/>
            <w:hideMark/>
          </w:tcPr>
          <w:p w14:paraId="10224209" w14:textId="034B2C50" w:rsidR="003F3786" w:rsidRPr="00372E52" w:rsidRDefault="003F3786"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sz w:val="16"/>
                <w:szCs w:val="16"/>
              </w:rPr>
              <w:t>Isononyl Isononanoate</w:t>
            </w:r>
            <w:r w:rsidR="002C3ADF" w:rsidRPr="00372E52">
              <w:rPr>
                <w:sz w:val="16"/>
                <w:szCs w:val="16"/>
              </w:rPr>
              <w:t xml:space="preserve"> </w:t>
            </w:r>
            <w:r w:rsidRPr="00372E52">
              <w:rPr>
                <w:sz w:val="16"/>
                <w:szCs w:val="16"/>
              </w:rPr>
              <w:t>(and) Bis-</w:t>
            </w:r>
            <w:proofErr w:type="spellStart"/>
            <w:r w:rsidRPr="00372E52">
              <w:rPr>
                <w:sz w:val="16"/>
                <w:szCs w:val="16"/>
              </w:rPr>
              <w:t>Vinyldimethicone</w:t>
            </w:r>
            <w:proofErr w:type="spellEnd"/>
            <w:r w:rsidRPr="00372E52">
              <w:rPr>
                <w:sz w:val="16"/>
                <w:szCs w:val="16"/>
              </w:rPr>
              <w:t>/PEG 10 Dimethicone Crosspolymer</w:t>
            </w:r>
          </w:p>
        </w:tc>
        <w:tc>
          <w:tcPr>
            <w:tcW w:w="1578" w:type="dxa"/>
            <w:vAlign w:val="center"/>
            <w:hideMark/>
          </w:tcPr>
          <w:p w14:paraId="0D4C18F5" w14:textId="1E9DDD0C" w:rsidR="003F3786" w:rsidRPr="00372E52" w:rsidRDefault="00317DFA"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rFonts w:eastAsiaTheme="majorEastAsia"/>
                <w:sz w:val="16"/>
                <w:szCs w:val="16"/>
              </w:rPr>
              <w:t>Alzo International</w:t>
            </w:r>
          </w:p>
        </w:tc>
        <w:tc>
          <w:tcPr>
            <w:tcW w:w="790" w:type="dxa"/>
            <w:vAlign w:val="center"/>
            <w:hideMark/>
          </w:tcPr>
          <w:p w14:paraId="3B661FA2" w14:textId="1CE48E80" w:rsidR="003F3786" w:rsidRPr="00372E52" w:rsidRDefault="00317DFA"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rFonts w:eastAsiaTheme="majorEastAsia"/>
                <w:sz w:val="16"/>
                <w:szCs w:val="16"/>
              </w:rPr>
              <w:t>3</w:t>
            </w:r>
            <w:r w:rsidR="004B119E" w:rsidRPr="00372E52">
              <w:rPr>
                <w:rFonts w:eastAsiaTheme="majorEastAsia"/>
                <w:sz w:val="16"/>
                <w:szCs w:val="16"/>
              </w:rPr>
              <w:t>4</w:t>
            </w:r>
            <w:r w:rsidR="0051103A">
              <w:rPr>
                <w:rFonts w:eastAsiaTheme="majorEastAsia"/>
                <w:sz w:val="16"/>
                <w:szCs w:val="16"/>
              </w:rPr>
              <w:t>.2</w:t>
            </w:r>
          </w:p>
        </w:tc>
      </w:tr>
      <w:tr w:rsidR="003F3786" w:rsidRPr="00372E52" w14:paraId="1DA5B043"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22CBB69B" w14:textId="3D04BE42" w:rsidR="003F3786" w:rsidRPr="00372E52" w:rsidRDefault="003F3786" w:rsidP="0051103A">
            <w:pPr>
              <w:jc w:val="center"/>
              <w:rPr>
                <w:rFonts w:ascii="Times New Roman" w:hAnsi="Times New Roman" w:cs="Times New Roman"/>
                <w:b w:val="0"/>
                <w:bCs w:val="0"/>
                <w:sz w:val="16"/>
                <w:szCs w:val="16"/>
              </w:rPr>
            </w:pPr>
            <w:r w:rsidRPr="00372E52">
              <w:rPr>
                <w:rFonts w:ascii="Times New Roman" w:hAnsi="Times New Roman" w:cs="Times New Roman"/>
                <w:b w:val="0"/>
                <w:bCs w:val="0"/>
                <w:sz w:val="16"/>
                <w:szCs w:val="16"/>
              </w:rPr>
              <w:t>Glycerin</w:t>
            </w:r>
          </w:p>
        </w:tc>
        <w:tc>
          <w:tcPr>
            <w:tcW w:w="2909" w:type="dxa"/>
            <w:vAlign w:val="center"/>
            <w:hideMark/>
          </w:tcPr>
          <w:p w14:paraId="7C29184B" w14:textId="7A03BABF" w:rsidR="003F3786" w:rsidRPr="00372E52" w:rsidRDefault="003F3786"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sz w:val="16"/>
                <w:szCs w:val="16"/>
              </w:rPr>
              <w:t>Glycerin</w:t>
            </w:r>
          </w:p>
        </w:tc>
        <w:tc>
          <w:tcPr>
            <w:tcW w:w="1578" w:type="dxa"/>
            <w:vAlign w:val="center"/>
            <w:hideMark/>
          </w:tcPr>
          <w:p w14:paraId="4F95FA18" w14:textId="3F5B2517" w:rsidR="003F3786" w:rsidRPr="00372E52" w:rsidRDefault="00317DFA"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rFonts w:eastAsiaTheme="majorEastAsia"/>
                <w:sz w:val="16"/>
                <w:szCs w:val="16"/>
              </w:rPr>
              <w:t>Alzo International</w:t>
            </w:r>
          </w:p>
        </w:tc>
        <w:tc>
          <w:tcPr>
            <w:tcW w:w="790" w:type="dxa"/>
            <w:vAlign w:val="center"/>
            <w:hideMark/>
          </w:tcPr>
          <w:p w14:paraId="47A84681" w14:textId="4D1C3F05" w:rsidR="003F3786" w:rsidRPr="00372E52" w:rsidRDefault="004B119E"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rFonts w:eastAsiaTheme="majorEastAsia"/>
                <w:sz w:val="16"/>
                <w:szCs w:val="16"/>
              </w:rPr>
              <w:t>9.8</w:t>
            </w:r>
          </w:p>
        </w:tc>
      </w:tr>
      <w:tr w:rsidR="003F3786" w:rsidRPr="00372E52" w14:paraId="16AA2EA0" w14:textId="77777777" w:rsidTr="0051103A">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5E36A42C" w14:textId="623F17FE" w:rsidR="003F3786" w:rsidRPr="00372E52" w:rsidRDefault="003F3786" w:rsidP="0051103A">
            <w:pPr>
              <w:jc w:val="center"/>
              <w:rPr>
                <w:rFonts w:ascii="Times New Roman" w:hAnsi="Times New Roman" w:cs="Times New Roman"/>
                <w:color w:val="1F497D"/>
                <w:sz w:val="16"/>
                <w:szCs w:val="16"/>
              </w:rPr>
            </w:pPr>
            <w:r w:rsidRPr="00372E52">
              <w:rPr>
                <w:rFonts w:ascii="Times New Roman" w:hAnsi="Times New Roman" w:cs="Times New Roman"/>
                <w:b w:val="0"/>
                <w:bCs w:val="0"/>
                <w:sz w:val="16"/>
                <w:szCs w:val="16"/>
              </w:rPr>
              <w:t>DI Water</w:t>
            </w:r>
          </w:p>
        </w:tc>
        <w:tc>
          <w:tcPr>
            <w:tcW w:w="2909" w:type="dxa"/>
            <w:vAlign w:val="center"/>
          </w:tcPr>
          <w:p w14:paraId="714516D4" w14:textId="29884F9B" w:rsidR="003F3786" w:rsidRPr="00372E52" w:rsidRDefault="003F3786"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rFonts w:eastAsiaTheme="majorEastAsia"/>
                <w:sz w:val="16"/>
                <w:szCs w:val="16"/>
              </w:rPr>
              <w:t>Water</w:t>
            </w:r>
          </w:p>
        </w:tc>
        <w:tc>
          <w:tcPr>
            <w:tcW w:w="1578" w:type="dxa"/>
            <w:vAlign w:val="center"/>
          </w:tcPr>
          <w:p w14:paraId="0289C3F9" w14:textId="6D62A919" w:rsidR="003F3786" w:rsidRPr="00372E52" w:rsidRDefault="003F3786"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rFonts w:eastAsiaTheme="majorEastAsia"/>
                <w:sz w:val="16"/>
                <w:szCs w:val="16"/>
              </w:rPr>
              <w:t>--</w:t>
            </w:r>
          </w:p>
        </w:tc>
        <w:tc>
          <w:tcPr>
            <w:tcW w:w="790" w:type="dxa"/>
            <w:vAlign w:val="center"/>
          </w:tcPr>
          <w:p w14:paraId="7A2FCBCB" w14:textId="0A595878" w:rsidR="003F3786" w:rsidRPr="00372E52" w:rsidRDefault="004B119E"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rFonts w:eastAsiaTheme="majorEastAsia"/>
                <w:sz w:val="16"/>
                <w:szCs w:val="16"/>
              </w:rPr>
              <w:t>9.</w:t>
            </w:r>
            <w:r w:rsidR="0051103A">
              <w:rPr>
                <w:rFonts w:eastAsiaTheme="majorEastAsia"/>
                <w:sz w:val="16"/>
                <w:szCs w:val="16"/>
              </w:rPr>
              <w:t>1</w:t>
            </w:r>
          </w:p>
        </w:tc>
      </w:tr>
      <w:tr w:rsidR="00317DFA" w:rsidRPr="00372E52" w14:paraId="6719A789"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3377199B" w14:textId="7A54B299" w:rsidR="00317DFA" w:rsidRPr="00372E52" w:rsidRDefault="004B119E" w:rsidP="0051103A">
            <w:pPr>
              <w:jc w:val="center"/>
              <w:rPr>
                <w:rFonts w:ascii="Times New Roman" w:hAnsi="Times New Roman" w:cs="Times New Roman"/>
                <w:b w:val="0"/>
                <w:bCs w:val="0"/>
                <w:sz w:val="16"/>
                <w:szCs w:val="16"/>
              </w:rPr>
            </w:pPr>
            <w:r w:rsidRPr="00372E52">
              <w:rPr>
                <w:rFonts w:ascii="Times New Roman" w:hAnsi="Times New Roman" w:cs="Times New Roman"/>
                <w:b w:val="0"/>
                <w:bCs w:val="0"/>
                <w:sz w:val="16"/>
                <w:szCs w:val="16"/>
              </w:rPr>
              <w:t>FDC Yellow 5</w:t>
            </w:r>
          </w:p>
        </w:tc>
        <w:tc>
          <w:tcPr>
            <w:tcW w:w="2909" w:type="dxa"/>
            <w:vAlign w:val="center"/>
          </w:tcPr>
          <w:p w14:paraId="7B1E2E64" w14:textId="698DEF54" w:rsidR="00317DFA" w:rsidRPr="00372E52" w:rsidRDefault="004B119E"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sz w:val="16"/>
                <w:szCs w:val="16"/>
              </w:rPr>
              <w:t>Yellow 5</w:t>
            </w:r>
          </w:p>
        </w:tc>
        <w:tc>
          <w:tcPr>
            <w:tcW w:w="1578" w:type="dxa"/>
            <w:vAlign w:val="center"/>
          </w:tcPr>
          <w:p w14:paraId="4FE69F6C" w14:textId="052345E8" w:rsidR="00317DFA" w:rsidRPr="00372E52" w:rsidRDefault="00317DFA"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c>
          <w:tcPr>
            <w:tcW w:w="790" w:type="dxa"/>
            <w:vAlign w:val="center"/>
          </w:tcPr>
          <w:p w14:paraId="5D7EDE0E" w14:textId="0474838A" w:rsidR="00317DFA" w:rsidRPr="00372E52" w:rsidRDefault="004B119E"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rFonts w:eastAsiaTheme="majorEastAsia"/>
                <w:sz w:val="16"/>
                <w:szCs w:val="16"/>
              </w:rPr>
              <w:t>0.7</w:t>
            </w:r>
          </w:p>
        </w:tc>
      </w:tr>
      <w:tr w:rsidR="005C49BF" w:rsidRPr="00372E52" w14:paraId="0DD54FDC" w14:textId="77777777" w:rsidTr="0051103A">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7930A501" w14:textId="4C94566D" w:rsidR="005C49BF" w:rsidRPr="00372E52" w:rsidRDefault="005C49BF" w:rsidP="0051103A">
            <w:pPr>
              <w:jc w:val="center"/>
              <w:rPr>
                <w:b w:val="0"/>
                <w:bCs w:val="0"/>
                <w:sz w:val="16"/>
                <w:szCs w:val="16"/>
              </w:rPr>
            </w:pPr>
            <w:proofErr w:type="spellStart"/>
            <w:r w:rsidRPr="00372E52">
              <w:rPr>
                <w:rFonts w:ascii="Times New Roman" w:hAnsi="Times New Roman" w:cs="Times New Roman"/>
                <w:b w:val="0"/>
                <w:bCs w:val="0"/>
                <w:sz w:val="16"/>
                <w:szCs w:val="16"/>
              </w:rPr>
              <w:t>Nipagard</w:t>
            </w:r>
            <w:proofErr w:type="spellEnd"/>
            <w:r w:rsidRPr="00372E52">
              <w:rPr>
                <w:rFonts w:ascii="Times New Roman" w:hAnsi="Times New Roman" w:cs="Times New Roman"/>
                <w:b w:val="0"/>
                <w:bCs w:val="0"/>
                <w:sz w:val="16"/>
                <w:szCs w:val="16"/>
              </w:rPr>
              <w:t xml:space="preserve"> SCF</w:t>
            </w:r>
          </w:p>
        </w:tc>
        <w:tc>
          <w:tcPr>
            <w:tcW w:w="2909" w:type="dxa"/>
            <w:vAlign w:val="center"/>
          </w:tcPr>
          <w:p w14:paraId="5A37105F" w14:textId="0FC8898E" w:rsidR="005C49BF" w:rsidRPr="00372E52" w:rsidRDefault="005C49BF" w:rsidP="0051103A">
            <w:pPr>
              <w:jc w:val="center"/>
              <w:cnfStyle w:val="000000010000" w:firstRow="0" w:lastRow="0" w:firstColumn="0" w:lastColumn="0" w:oddVBand="0" w:evenVBand="0" w:oddHBand="0" w:evenHBand="1" w:firstRowFirstColumn="0" w:firstRowLastColumn="0" w:lastRowFirstColumn="0" w:lastRowLastColumn="0"/>
              <w:rPr>
                <w:sz w:val="16"/>
                <w:szCs w:val="16"/>
              </w:rPr>
            </w:pPr>
            <w:r w:rsidRPr="00372E52">
              <w:rPr>
                <w:sz w:val="16"/>
                <w:szCs w:val="16"/>
              </w:rPr>
              <w:t>Caprylyl Glycol (and) Phenoxyethanol</w:t>
            </w:r>
          </w:p>
        </w:tc>
        <w:tc>
          <w:tcPr>
            <w:tcW w:w="1578" w:type="dxa"/>
            <w:vAlign w:val="center"/>
          </w:tcPr>
          <w:p w14:paraId="0D7BF3D7" w14:textId="17AA133C" w:rsidR="005C49BF" w:rsidRPr="00372E52" w:rsidRDefault="005C49BF"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sz w:val="16"/>
                <w:szCs w:val="16"/>
              </w:rPr>
              <w:t>Clariant</w:t>
            </w:r>
          </w:p>
        </w:tc>
        <w:tc>
          <w:tcPr>
            <w:tcW w:w="790" w:type="dxa"/>
            <w:vAlign w:val="center"/>
          </w:tcPr>
          <w:p w14:paraId="67464516" w14:textId="71874606" w:rsidR="005C49BF" w:rsidRPr="00372E52" w:rsidRDefault="005C49BF"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rFonts w:eastAsiaTheme="majorEastAsia"/>
                <w:sz w:val="16"/>
                <w:szCs w:val="16"/>
              </w:rPr>
              <w:t>0.5</w:t>
            </w:r>
          </w:p>
        </w:tc>
      </w:tr>
      <w:tr w:rsidR="003F3786" w:rsidRPr="00372E52" w14:paraId="09B0180A"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19CB6EB1" w14:textId="5ADEFBA4" w:rsidR="003F3786" w:rsidRPr="00372E52" w:rsidRDefault="003F3786" w:rsidP="0051103A">
            <w:pPr>
              <w:jc w:val="center"/>
              <w:rPr>
                <w:rFonts w:ascii="Times New Roman" w:hAnsi="Times New Roman" w:cs="Times New Roman"/>
                <w:color w:val="1F497D"/>
                <w:sz w:val="16"/>
                <w:szCs w:val="16"/>
              </w:rPr>
            </w:pPr>
            <w:r w:rsidRPr="00962F79">
              <w:rPr>
                <w:rFonts w:ascii="Times New Roman" w:hAnsi="Times New Roman" w:cs="Times New Roman"/>
                <w:color w:val="1F497D" w:themeColor="text2"/>
                <w:sz w:val="16"/>
                <w:szCs w:val="16"/>
              </w:rPr>
              <w:t>Phase B (</w:t>
            </w:r>
            <w:r w:rsidR="00317DFA" w:rsidRPr="00962F79">
              <w:rPr>
                <w:rFonts w:ascii="Times New Roman" w:hAnsi="Times New Roman" w:cs="Times New Roman"/>
                <w:color w:val="1F497D" w:themeColor="text2"/>
                <w:sz w:val="16"/>
                <w:szCs w:val="16"/>
              </w:rPr>
              <w:t>waxes</w:t>
            </w:r>
            <w:r w:rsidRPr="00962F79">
              <w:rPr>
                <w:rFonts w:ascii="Times New Roman" w:hAnsi="Times New Roman" w:cs="Times New Roman"/>
                <w:color w:val="1F497D" w:themeColor="text2"/>
                <w:sz w:val="16"/>
                <w:szCs w:val="16"/>
              </w:rPr>
              <w:t>)</w:t>
            </w:r>
          </w:p>
        </w:tc>
        <w:tc>
          <w:tcPr>
            <w:tcW w:w="2909" w:type="dxa"/>
            <w:vAlign w:val="center"/>
          </w:tcPr>
          <w:p w14:paraId="2C62497A" w14:textId="77777777" w:rsidR="003F3786" w:rsidRPr="00372E52" w:rsidRDefault="003F3786"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c>
          <w:tcPr>
            <w:tcW w:w="1578" w:type="dxa"/>
            <w:vAlign w:val="center"/>
          </w:tcPr>
          <w:p w14:paraId="51A9AA9B" w14:textId="77777777" w:rsidR="003F3786" w:rsidRPr="00372E52" w:rsidRDefault="003F3786"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c>
          <w:tcPr>
            <w:tcW w:w="790" w:type="dxa"/>
            <w:vAlign w:val="center"/>
          </w:tcPr>
          <w:p w14:paraId="7502DB9D" w14:textId="77777777" w:rsidR="003F3786" w:rsidRPr="00372E52" w:rsidRDefault="003F3786"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r>
      <w:tr w:rsidR="00317DFA" w:rsidRPr="00372E52" w14:paraId="51E94202" w14:textId="77777777" w:rsidTr="0051103A">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7867B54E" w14:textId="738344D3" w:rsidR="00317DFA" w:rsidRPr="00372E52" w:rsidRDefault="00317DFA" w:rsidP="0051103A">
            <w:pPr>
              <w:jc w:val="center"/>
              <w:rPr>
                <w:rFonts w:ascii="Times New Roman" w:hAnsi="Times New Roman" w:cs="Times New Roman"/>
                <w:b w:val="0"/>
                <w:bCs w:val="0"/>
                <w:sz w:val="16"/>
                <w:szCs w:val="16"/>
              </w:rPr>
            </w:pPr>
            <w:r w:rsidRPr="00372E52">
              <w:rPr>
                <w:rFonts w:ascii="Times New Roman" w:hAnsi="Times New Roman" w:cs="Times New Roman"/>
                <w:b w:val="0"/>
                <w:bCs w:val="0"/>
                <w:color w:val="000000"/>
                <w:sz w:val="16"/>
                <w:szCs w:val="16"/>
              </w:rPr>
              <w:t>Dermol DGDIS</w:t>
            </w:r>
          </w:p>
        </w:tc>
        <w:tc>
          <w:tcPr>
            <w:tcW w:w="2909" w:type="dxa"/>
            <w:vAlign w:val="center"/>
            <w:hideMark/>
          </w:tcPr>
          <w:p w14:paraId="3DA36FAA" w14:textId="71B0E694" w:rsidR="00317DFA" w:rsidRPr="00372E52" w:rsidRDefault="00317DFA"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roofErr w:type="spellStart"/>
            <w:r w:rsidRPr="00372E52">
              <w:rPr>
                <w:color w:val="000000"/>
                <w:sz w:val="16"/>
                <w:szCs w:val="16"/>
              </w:rPr>
              <w:t>Polyglyceryl</w:t>
            </w:r>
            <w:proofErr w:type="spellEnd"/>
            <w:r w:rsidRPr="00372E52">
              <w:rPr>
                <w:color w:val="000000"/>
                <w:sz w:val="16"/>
                <w:szCs w:val="16"/>
              </w:rPr>
              <w:t xml:space="preserve"> 2-Diisostearate</w:t>
            </w:r>
          </w:p>
        </w:tc>
        <w:tc>
          <w:tcPr>
            <w:tcW w:w="1578" w:type="dxa"/>
            <w:vAlign w:val="center"/>
            <w:hideMark/>
          </w:tcPr>
          <w:p w14:paraId="41FFB030" w14:textId="1319D128" w:rsidR="00317DFA" w:rsidRPr="00372E52" w:rsidRDefault="004A1F49"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color w:val="000000"/>
                <w:sz w:val="16"/>
                <w:szCs w:val="16"/>
              </w:rPr>
              <w:t>Alzo International</w:t>
            </w:r>
          </w:p>
        </w:tc>
        <w:tc>
          <w:tcPr>
            <w:tcW w:w="790" w:type="dxa"/>
            <w:vAlign w:val="center"/>
            <w:hideMark/>
          </w:tcPr>
          <w:p w14:paraId="0916FCB4" w14:textId="16066DC9" w:rsidR="00317DFA" w:rsidRPr="00372E52" w:rsidRDefault="004B119E"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color w:val="000000"/>
                <w:sz w:val="16"/>
                <w:szCs w:val="16"/>
              </w:rPr>
              <w:t>5.9</w:t>
            </w:r>
          </w:p>
        </w:tc>
      </w:tr>
      <w:tr w:rsidR="00317DFA" w:rsidRPr="00372E52" w14:paraId="6BEEEF27"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7C961E8A" w14:textId="686C145C" w:rsidR="00317DFA" w:rsidRPr="00372E52" w:rsidRDefault="00317DFA" w:rsidP="0051103A">
            <w:pPr>
              <w:jc w:val="center"/>
              <w:rPr>
                <w:rFonts w:ascii="Times New Roman" w:hAnsi="Times New Roman" w:cs="Times New Roman"/>
                <w:b w:val="0"/>
                <w:bCs w:val="0"/>
                <w:sz w:val="16"/>
                <w:szCs w:val="16"/>
              </w:rPr>
            </w:pPr>
            <w:r w:rsidRPr="00372E52">
              <w:rPr>
                <w:rFonts w:ascii="Times New Roman" w:hAnsi="Times New Roman" w:cs="Times New Roman"/>
                <w:b w:val="0"/>
                <w:bCs w:val="0"/>
                <w:color w:val="000000"/>
                <w:sz w:val="16"/>
                <w:szCs w:val="16"/>
              </w:rPr>
              <w:t>Polyderm PPI-CO</w:t>
            </w:r>
            <w:r w:rsidR="004B119E" w:rsidRPr="00372E52">
              <w:rPr>
                <w:rFonts w:ascii="Times New Roman" w:hAnsi="Times New Roman" w:cs="Times New Roman"/>
                <w:b w:val="0"/>
                <w:bCs w:val="0"/>
                <w:color w:val="000000"/>
                <w:sz w:val="16"/>
                <w:szCs w:val="16"/>
              </w:rPr>
              <w:t>-200</w:t>
            </w:r>
          </w:p>
        </w:tc>
        <w:tc>
          <w:tcPr>
            <w:tcW w:w="2909" w:type="dxa"/>
            <w:vAlign w:val="center"/>
            <w:hideMark/>
          </w:tcPr>
          <w:p w14:paraId="261E8FD7" w14:textId="28F188F0" w:rsidR="00317DFA" w:rsidRPr="00372E52" w:rsidRDefault="004B119E"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 xml:space="preserve">PEG-200 Hydrogenated </w:t>
            </w:r>
            <w:r w:rsidR="00317DFA" w:rsidRPr="00372E52">
              <w:rPr>
                <w:color w:val="000000"/>
                <w:sz w:val="16"/>
                <w:szCs w:val="16"/>
              </w:rPr>
              <w:t>Castor Oil/IPDI Copolymer</w:t>
            </w:r>
          </w:p>
        </w:tc>
        <w:tc>
          <w:tcPr>
            <w:tcW w:w="1578" w:type="dxa"/>
            <w:vAlign w:val="center"/>
            <w:hideMark/>
          </w:tcPr>
          <w:p w14:paraId="7D8100BF" w14:textId="5D5CA534" w:rsidR="00317DFA" w:rsidRPr="00372E52" w:rsidRDefault="004A1F49"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Alzo International</w:t>
            </w:r>
          </w:p>
        </w:tc>
        <w:tc>
          <w:tcPr>
            <w:tcW w:w="790" w:type="dxa"/>
            <w:vAlign w:val="center"/>
            <w:hideMark/>
          </w:tcPr>
          <w:p w14:paraId="590690D4" w14:textId="148A97EE" w:rsidR="00317DFA" w:rsidRPr="00372E52" w:rsidRDefault="004B119E"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9.8</w:t>
            </w:r>
          </w:p>
        </w:tc>
      </w:tr>
      <w:tr w:rsidR="00317DFA" w:rsidRPr="00372E52" w14:paraId="5D0395C8" w14:textId="77777777" w:rsidTr="0051103A">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485998B7" w14:textId="120521E9" w:rsidR="00317DFA" w:rsidRPr="00372E52" w:rsidRDefault="004B119E" w:rsidP="0051103A">
            <w:pPr>
              <w:jc w:val="center"/>
              <w:rPr>
                <w:rFonts w:ascii="Times New Roman" w:hAnsi="Times New Roman" w:cs="Times New Roman"/>
                <w:b w:val="0"/>
                <w:bCs w:val="0"/>
                <w:sz w:val="16"/>
                <w:szCs w:val="16"/>
              </w:rPr>
            </w:pPr>
            <w:proofErr w:type="spellStart"/>
            <w:r w:rsidRPr="00372E52">
              <w:rPr>
                <w:rFonts w:ascii="Times New Roman" w:hAnsi="Times New Roman" w:cs="Times New Roman"/>
                <w:b w:val="0"/>
                <w:bCs w:val="0"/>
                <w:color w:val="000000"/>
                <w:sz w:val="16"/>
                <w:szCs w:val="16"/>
              </w:rPr>
              <w:t>Dermowax</w:t>
            </w:r>
            <w:proofErr w:type="spellEnd"/>
            <w:r w:rsidRPr="00372E52">
              <w:rPr>
                <w:rFonts w:ascii="Times New Roman" w:hAnsi="Times New Roman" w:cs="Times New Roman"/>
                <w:b w:val="0"/>
                <w:bCs w:val="0"/>
                <w:color w:val="000000"/>
                <w:sz w:val="16"/>
                <w:szCs w:val="16"/>
              </w:rPr>
              <w:t xml:space="preserve"> BB</w:t>
            </w:r>
          </w:p>
        </w:tc>
        <w:tc>
          <w:tcPr>
            <w:tcW w:w="2909" w:type="dxa"/>
            <w:vAlign w:val="center"/>
            <w:hideMark/>
          </w:tcPr>
          <w:p w14:paraId="30446D89" w14:textId="5D4ECD16" w:rsidR="00317DFA" w:rsidRPr="00372E52" w:rsidRDefault="004B119E"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roofErr w:type="spellStart"/>
            <w:r w:rsidRPr="00372E52">
              <w:rPr>
                <w:color w:val="000000"/>
                <w:sz w:val="16"/>
                <w:szCs w:val="16"/>
              </w:rPr>
              <w:t>Behenyl</w:t>
            </w:r>
            <w:proofErr w:type="spellEnd"/>
            <w:r w:rsidRPr="00372E52">
              <w:rPr>
                <w:color w:val="000000"/>
                <w:sz w:val="16"/>
                <w:szCs w:val="16"/>
              </w:rPr>
              <w:t xml:space="preserve"> Behenate</w:t>
            </w:r>
          </w:p>
        </w:tc>
        <w:tc>
          <w:tcPr>
            <w:tcW w:w="1578" w:type="dxa"/>
            <w:vAlign w:val="center"/>
            <w:hideMark/>
          </w:tcPr>
          <w:p w14:paraId="4C2AFE6E" w14:textId="213A1F6C" w:rsidR="00317DFA" w:rsidRPr="00372E52" w:rsidRDefault="005C49BF"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color w:val="000000"/>
                <w:sz w:val="16"/>
                <w:szCs w:val="16"/>
              </w:rPr>
              <w:t>Alzo International</w:t>
            </w:r>
          </w:p>
        </w:tc>
        <w:tc>
          <w:tcPr>
            <w:tcW w:w="790" w:type="dxa"/>
            <w:vAlign w:val="center"/>
            <w:hideMark/>
          </w:tcPr>
          <w:p w14:paraId="286F9DC0" w14:textId="1C7CDDB0" w:rsidR="00317DFA" w:rsidRPr="00372E52" w:rsidRDefault="005C49BF"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color w:val="000000"/>
                <w:sz w:val="16"/>
                <w:szCs w:val="16"/>
              </w:rPr>
              <w:t>5.9</w:t>
            </w:r>
          </w:p>
        </w:tc>
      </w:tr>
      <w:tr w:rsidR="00317DFA" w:rsidRPr="00372E52" w14:paraId="7779270F"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6D95FAFC" w14:textId="0A5A35B0" w:rsidR="00317DFA" w:rsidRPr="00372E52" w:rsidRDefault="00317DFA" w:rsidP="0051103A">
            <w:pPr>
              <w:jc w:val="center"/>
              <w:rPr>
                <w:rFonts w:ascii="Times New Roman" w:hAnsi="Times New Roman" w:cs="Times New Roman"/>
                <w:b w:val="0"/>
                <w:bCs w:val="0"/>
                <w:sz w:val="16"/>
                <w:szCs w:val="16"/>
              </w:rPr>
            </w:pPr>
            <w:proofErr w:type="spellStart"/>
            <w:r w:rsidRPr="00372E52">
              <w:rPr>
                <w:rFonts w:ascii="Times New Roman" w:hAnsi="Times New Roman" w:cs="Times New Roman"/>
                <w:b w:val="0"/>
                <w:bCs w:val="0"/>
                <w:color w:val="000000"/>
                <w:sz w:val="16"/>
                <w:szCs w:val="16"/>
              </w:rPr>
              <w:t>Performacol</w:t>
            </w:r>
            <w:proofErr w:type="spellEnd"/>
            <w:r w:rsidRPr="00372E52">
              <w:rPr>
                <w:rFonts w:ascii="Times New Roman" w:hAnsi="Times New Roman" w:cs="Times New Roman"/>
                <w:b w:val="0"/>
                <w:bCs w:val="0"/>
                <w:color w:val="000000"/>
                <w:sz w:val="16"/>
                <w:szCs w:val="16"/>
              </w:rPr>
              <w:t xml:space="preserve"> 350</w:t>
            </w:r>
          </w:p>
        </w:tc>
        <w:tc>
          <w:tcPr>
            <w:tcW w:w="2909" w:type="dxa"/>
            <w:vAlign w:val="center"/>
            <w:hideMark/>
          </w:tcPr>
          <w:p w14:paraId="2DCA93E1" w14:textId="0C489ED6" w:rsidR="00317DFA" w:rsidRPr="00372E52" w:rsidRDefault="00317DFA"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C20-40 Alcohols</w:t>
            </w:r>
          </w:p>
        </w:tc>
        <w:tc>
          <w:tcPr>
            <w:tcW w:w="1578" w:type="dxa"/>
            <w:vAlign w:val="center"/>
            <w:hideMark/>
          </w:tcPr>
          <w:p w14:paraId="4F97DBCE" w14:textId="42DF196A" w:rsidR="00317DFA" w:rsidRPr="00372E52" w:rsidRDefault="00317DFA"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New Phase</w:t>
            </w:r>
          </w:p>
        </w:tc>
        <w:tc>
          <w:tcPr>
            <w:tcW w:w="790" w:type="dxa"/>
            <w:vAlign w:val="center"/>
            <w:hideMark/>
          </w:tcPr>
          <w:p w14:paraId="0FD8491A" w14:textId="777CABB2" w:rsidR="00317DFA" w:rsidRPr="00372E52" w:rsidRDefault="005C49BF"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rFonts w:eastAsiaTheme="majorEastAsia"/>
                <w:sz w:val="16"/>
                <w:szCs w:val="16"/>
              </w:rPr>
              <w:t>7.8</w:t>
            </w:r>
          </w:p>
        </w:tc>
      </w:tr>
      <w:tr w:rsidR="00317DFA" w:rsidRPr="00372E52" w14:paraId="545F5E88" w14:textId="77777777" w:rsidTr="0051103A">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1DFB9AA2" w14:textId="0C2084E0" w:rsidR="00317DFA" w:rsidRPr="00372E52" w:rsidRDefault="00317DFA" w:rsidP="0051103A">
            <w:pPr>
              <w:jc w:val="center"/>
              <w:rPr>
                <w:rFonts w:ascii="Times New Roman" w:hAnsi="Times New Roman" w:cs="Times New Roman"/>
                <w:b w:val="0"/>
                <w:bCs w:val="0"/>
                <w:sz w:val="16"/>
                <w:szCs w:val="16"/>
              </w:rPr>
            </w:pPr>
            <w:r w:rsidRPr="00372E52">
              <w:rPr>
                <w:rFonts w:ascii="Times New Roman" w:hAnsi="Times New Roman" w:cs="Times New Roman"/>
                <w:b w:val="0"/>
                <w:bCs w:val="0"/>
                <w:color w:val="000000"/>
                <w:sz w:val="16"/>
                <w:szCs w:val="16"/>
              </w:rPr>
              <w:t>SP 88</w:t>
            </w:r>
          </w:p>
        </w:tc>
        <w:tc>
          <w:tcPr>
            <w:tcW w:w="2909" w:type="dxa"/>
            <w:vAlign w:val="center"/>
          </w:tcPr>
          <w:p w14:paraId="5867F432" w14:textId="56963507" w:rsidR="00317DFA" w:rsidRPr="00372E52" w:rsidRDefault="00317DFA"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color w:val="000000"/>
                <w:sz w:val="16"/>
                <w:szCs w:val="16"/>
              </w:rPr>
              <w:t>Microcrystalline Wax</w:t>
            </w:r>
          </w:p>
        </w:tc>
        <w:tc>
          <w:tcPr>
            <w:tcW w:w="1578" w:type="dxa"/>
            <w:vAlign w:val="center"/>
          </w:tcPr>
          <w:p w14:paraId="270FF69C" w14:textId="1335AD09" w:rsidR="00317DFA" w:rsidRPr="00372E52" w:rsidRDefault="00907981"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roofErr w:type="spellStart"/>
            <w:r w:rsidRPr="00372E52">
              <w:rPr>
                <w:color w:val="000000"/>
                <w:sz w:val="16"/>
                <w:szCs w:val="16"/>
              </w:rPr>
              <w:t>Strahl</w:t>
            </w:r>
            <w:proofErr w:type="spellEnd"/>
            <w:r w:rsidRPr="00372E52">
              <w:rPr>
                <w:color w:val="000000"/>
                <w:sz w:val="16"/>
                <w:szCs w:val="16"/>
              </w:rPr>
              <w:t xml:space="preserve"> &amp; </w:t>
            </w:r>
            <w:proofErr w:type="spellStart"/>
            <w:r w:rsidRPr="00372E52">
              <w:rPr>
                <w:color w:val="000000"/>
                <w:sz w:val="16"/>
                <w:szCs w:val="16"/>
              </w:rPr>
              <w:t>Pitsch</w:t>
            </w:r>
            <w:proofErr w:type="spellEnd"/>
          </w:p>
        </w:tc>
        <w:tc>
          <w:tcPr>
            <w:tcW w:w="790" w:type="dxa"/>
            <w:vAlign w:val="center"/>
          </w:tcPr>
          <w:p w14:paraId="2A748D59" w14:textId="493018C7" w:rsidR="00317DFA" w:rsidRPr="00372E52" w:rsidRDefault="005C49BF"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72E52">
              <w:rPr>
                <w:color w:val="000000"/>
                <w:sz w:val="16"/>
                <w:szCs w:val="16"/>
              </w:rPr>
              <w:t>3</w:t>
            </w:r>
          </w:p>
        </w:tc>
      </w:tr>
      <w:tr w:rsidR="00317DFA" w:rsidRPr="00372E52" w14:paraId="0A1B861A"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69BA6105" w14:textId="4F00AD84" w:rsidR="00317DFA" w:rsidRPr="00372E52" w:rsidRDefault="00317DFA" w:rsidP="0051103A">
            <w:pPr>
              <w:jc w:val="center"/>
              <w:rPr>
                <w:rFonts w:ascii="Times New Roman" w:hAnsi="Times New Roman" w:cs="Times New Roman"/>
                <w:b w:val="0"/>
                <w:bCs w:val="0"/>
                <w:sz w:val="16"/>
                <w:szCs w:val="16"/>
              </w:rPr>
            </w:pPr>
            <w:r w:rsidRPr="00372E52">
              <w:rPr>
                <w:rFonts w:ascii="Times New Roman" w:hAnsi="Times New Roman" w:cs="Times New Roman"/>
                <w:b w:val="0"/>
                <w:bCs w:val="0"/>
                <w:color w:val="000000"/>
                <w:sz w:val="16"/>
                <w:szCs w:val="16"/>
              </w:rPr>
              <w:t>SP 1026</w:t>
            </w:r>
          </w:p>
        </w:tc>
        <w:tc>
          <w:tcPr>
            <w:tcW w:w="2909" w:type="dxa"/>
            <w:vAlign w:val="center"/>
          </w:tcPr>
          <w:p w14:paraId="2E28DFF3" w14:textId="680D86EE" w:rsidR="00317DFA" w:rsidRPr="00372E52" w:rsidRDefault="00317DFA"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Ozokerite Wax</w:t>
            </w:r>
          </w:p>
        </w:tc>
        <w:tc>
          <w:tcPr>
            <w:tcW w:w="1578" w:type="dxa"/>
            <w:vAlign w:val="center"/>
          </w:tcPr>
          <w:p w14:paraId="71242CAA" w14:textId="1B1A0438" w:rsidR="00317DFA" w:rsidRPr="00372E52" w:rsidRDefault="00907981"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roofErr w:type="spellStart"/>
            <w:r w:rsidRPr="00372E52">
              <w:rPr>
                <w:color w:val="000000"/>
                <w:sz w:val="16"/>
                <w:szCs w:val="16"/>
              </w:rPr>
              <w:t>Strahl</w:t>
            </w:r>
            <w:proofErr w:type="spellEnd"/>
            <w:r w:rsidRPr="00372E52">
              <w:rPr>
                <w:color w:val="000000"/>
                <w:sz w:val="16"/>
                <w:szCs w:val="16"/>
              </w:rPr>
              <w:t xml:space="preserve"> &amp; </w:t>
            </w:r>
            <w:proofErr w:type="spellStart"/>
            <w:r w:rsidRPr="00372E52">
              <w:rPr>
                <w:color w:val="000000"/>
                <w:sz w:val="16"/>
                <w:szCs w:val="16"/>
              </w:rPr>
              <w:t>Pitsch</w:t>
            </w:r>
            <w:proofErr w:type="spellEnd"/>
          </w:p>
        </w:tc>
        <w:tc>
          <w:tcPr>
            <w:tcW w:w="790" w:type="dxa"/>
            <w:vAlign w:val="center"/>
          </w:tcPr>
          <w:p w14:paraId="13D2693A" w14:textId="2DBAF35D" w:rsidR="00317DFA" w:rsidRPr="00372E52" w:rsidRDefault="005C49BF"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3</w:t>
            </w:r>
          </w:p>
        </w:tc>
      </w:tr>
      <w:tr w:rsidR="003F3786" w:rsidRPr="00372E52" w14:paraId="1BE044F8" w14:textId="77777777" w:rsidTr="0051103A">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7DDC68A0" w14:textId="4057EA30" w:rsidR="003F3786" w:rsidRPr="00372E52" w:rsidRDefault="003F3786" w:rsidP="0051103A">
            <w:pPr>
              <w:jc w:val="center"/>
              <w:rPr>
                <w:rFonts w:ascii="Times New Roman" w:hAnsi="Times New Roman" w:cs="Times New Roman"/>
                <w:sz w:val="16"/>
                <w:szCs w:val="16"/>
              </w:rPr>
            </w:pPr>
            <w:r w:rsidRPr="00962F79">
              <w:rPr>
                <w:rFonts w:ascii="Times New Roman" w:hAnsi="Times New Roman" w:cs="Times New Roman"/>
                <w:color w:val="1F497D" w:themeColor="text2"/>
                <w:sz w:val="16"/>
                <w:szCs w:val="16"/>
              </w:rPr>
              <w:t>Phase C</w:t>
            </w:r>
            <w:r w:rsidR="00317DFA" w:rsidRPr="00962F79">
              <w:rPr>
                <w:rFonts w:ascii="Times New Roman" w:hAnsi="Times New Roman" w:cs="Times New Roman"/>
                <w:color w:val="1F497D" w:themeColor="text2"/>
                <w:sz w:val="16"/>
                <w:szCs w:val="16"/>
              </w:rPr>
              <w:t xml:space="preserve"> (colorants)</w:t>
            </w:r>
          </w:p>
        </w:tc>
        <w:tc>
          <w:tcPr>
            <w:tcW w:w="2909" w:type="dxa"/>
            <w:vAlign w:val="center"/>
            <w:hideMark/>
          </w:tcPr>
          <w:p w14:paraId="0BA6BDD6" w14:textId="527F33F2" w:rsidR="003F3786" w:rsidRPr="00372E52" w:rsidRDefault="003F3786"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1578" w:type="dxa"/>
            <w:vAlign w:val="center"/>
            <w:hideMark/>
          </w:tcPr>
          <w:p w14:paraId="16CD6A06" w14:textId="74F89F0E" w:rsidR="003F3786" w:rsidRPr="00372E52" w:rsidRDefault="003F3786"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790" w:type="dxa"/>
            <w:vAlign w:val="center"/>
            <w:hideMark/>
          </w:tcPr>
          <w:p w14:paraId="61693342" w14:textId="00FADB9E" w:rsidR="003F3786" w:rsidRPr="00372E52" w:rsidRDefault="003F3786"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r>
      <w:tr w:rsidR="0051103A" w:rsidRPr="00372E52" w14:paraId="465FAC4E"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0F2C6BC1" w14:textId="77777777" w:rsidR="0051103A" w:rsidRDefault="0051103A" w:rsidP="0051103A">
            <w:pPr>
              <w:jc w:val="center"/>
              <w:rPr>
                <w:sz w:val="16"/>
                <w:szCs w:val="16"/>
              </w:rPr>
            </w:pPr>
            <w:r w:rsidRPr="0051103A">
              <w:rPr>
                <w:rFonts w:ascii="Times New Roman" w:hAnsi="Times New Roman" w:cs="Times New Roman"/>
                <w:b w:val="0"/>
                <w:bCs w:val="0"/>
                <w:sz w:val="16"/>
                <w:szCs w:val="16"/>
              </w:rPr>
              <w:t>INBP75EBR</w:t>
            </w:r>
          </w:p>
          <w:p w14:paraId="05C29758" w14:textId="17B0436F" w:rsidR="0051103A" w:rsidRPr="0051103A" w:rsidRDefault="0051103A" w:rsidP="0051103A">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(Brown)</w:t>
            </w:r>
          </w:p>
        </w:tc>
        <w:tc>
          <w:tcPr>
            <w:tcW w:w="2909" w:type="dxa"/>
            <w:vAlign w:val="center"/>
            <w:hideMark/>
          </w:tcPr>
          <w:p w14:paraId="1534B5C1" w14:textId="5980EAE2" w:rsidR="0051103A" w:rsidRPr="0051103A" w:rsidRDefault="0051103A"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4"/>
                <w:szCs w:val="14"/>
              </w:rPr>
            </w:pPr>
            <w:r w:rsidRPr="0051103A">
              <w:rPr>
                <w:sz w:val="14"/>
                <w:szCs w:val="14"/>
              </w:rPr>
              <w:t xml:space="preserve">Iron oxides (and) Isononyl Isononanoate (and) Isopropyl </w:t>
            </w:r>
            <w:proofErr w:type="spellStart"/>
            <w:r w:rsidRPr="0051103A">
              <w:rPr>
                <w:sz w:val="14"/>
                <w:szCs w:val="14"/>
              </w:rPr>
              <w:t>Myistate</w:t>
            </w:r>
            <w:proofErr w:type="spellEnd"/>
            <w:r w:rsidRPr="0051103A">
              <w:rPr>
                <w:sz w:val="14"/>
                <w:szCs w:val="14"/>
              </w:rPr>
              <w:t xml:space="preserve"> (and) </w:t>
            </w:r>
            <w:proofErr w:type="spellStart"/>
            <w:r w:rsidRPr="0051103A">
              <w:rPr>
                <w:sz w:val="14"/>
                <w:szCs w:val="14"/>
              </w:rPr>
              <w:t>Stearalkonium</w:t>
            </w:r>
            <w:proofErr w:type="spellEnd"/>
            <w:r w:rsidRPr="0051103A">
              <w:rPr>
                <w:sz w:val="14"/>
                <w:szCs w:val="14"/>
              </w:rPr>
              <w:t xml:space="preserve"> Hectorite (and) </w:t>
            </w:r>
            <w:proofErr w:type="spellStart"/>
            <w:r w:rsidRPr="0051103A">
              <w:rPr>
                <w:sz w:val="14"/>
                <w:szCs w:val="14"/>
              </w:rPr>
              <w:t>Polyhydroysstearic</w:t>
            </w:r>
            <w:proofErr w:type="spellEnd"/>
            <w:r w:rsidRPr="0051103A">
              <w:rPr>
                <w:sz w:val="14"/>
                <w:szCs w:val="14"/>
              </w:rPr>
              <w:t xml:space="preserve"> Acid (and) Isopropyl Titanium </w:t>
            </w:r>
            <w:proofErr w:type="spellStart"/>
            <w:r w:rsidRPr="0051103A">
              <w:rPr>
                <w:sz w:val="14"/>
                <w:szCs w:val="14"/>
              </w:rPr>
              <w:t>Triisostearate</w:t>
            </w:r>
            <w:proofErr w:type="spellEnd"/>
            <w:r w:rsidRPr="0051103A">
              <w:rPr>
                <w:sz w:val="14"/>
                <w:szCs w:val="14"/>
              </w:rPr>
              <w:t xml:space="preserve"> (and) Propylene Carbonate</w:t>
            </w:r>
          </w:p>
        </w:tc>
        <w:tc>
          <w:tcPr>
            <w:tcW w:w="1578" w:type="dxa"/>
            <w:vAlign w:val="center"/>
            <w:hideMark/>
          </w:tcPr>
          <w:p w14:paraId="222D7C17" w14:textId="4F639124" w:rsidR="0051103A" w:rsidRPr="0051103A" w:rsidRDefault="0051103A"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51103A">
              <w:rPr>
                <w:sz w:val="16"/>
                <w:szCs w:val="16"/>
              </w:rPr>
              <w:t>Kobo</w:t>
            </w:r>
          </w:p>
        </w:tc>
        <w:tc>
          <w:tcPr>
            <w:tcW w:w="790" w:type="dxa"/>
            <w:vAlign w:val="center"/>
            <w:hideMark/>
          </w:tcPr>
          <w:p w14:paraId="45FE4311" w14:textId="18D1CFC2" w:rsidR="0051103A" w:rsidRPr="00372E52" w:rsidRDefault="0051103A"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Pr>
                <w:color w:val="000000"/>
                <w:sz w:val="16"/>
                <w:szCs w:val="16"/>
              </w:rPr>
              <w:t>5.9</w:t>
            </w:r>
          </w:p>
        </w:tc>
      </w:tr>
      <w:tr w:rsidR="0051103A" w:rsidRPr="00372E52" w14:paraId="61965CFD" w14:textId="77777777" w:rsidTr="0051103A">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0A71E1F0" w14:textId="77777777" w:rsidR="0051103A" w:rsidRDefault="0051103A" w:rsidP="0051103A">
            <w:pPr>
              <w:jc w:val="center"/>
              <w:rPr>
                <w:sz w:val="16"/>
                <w:szCs w:val="16"/>
              </w:rPr>
            </w:pPr>
            <w:r w:rsidRPr="0051103A">
              <w:rPr>
                <w:rFonts w:ascii="Times New Roman" w:hAnsi="Times New Roman" w:cs="Times New Roman"/>
                <w:b w:val="0"/>
                <w:bCs w:val="0"/>
                <w:sz w:val="16"/>
                <w:szCs w:val="16"/>
              </w:rPr>
              <w:t>INBP75EB</w:t>
            </w:r>
          </w:p>
          <w:p w14:paraId="54491E15" w14:textId="629BC0BE" w:rsidR="0051103A" w:rsidRPr="0051103A" w:rsidRDefault="0051103A" w:rsidP="0051103A">
            <w:pPr>
              <w:jc w:val="center"/>
              <w:rPr>
                <w:rFonts w:ascii="Times New Roman" w:hAnsi="Times New Roman" w:cs="Times New Roman"/>
                <w:b w:val="0"/>
                <w:bCs w:val="0"/>
                <w:color w:val="000000"/>
                <w:sz w:val="16"/>
                <w:szCs w:val="16"/>
              </w:rPr>
            </w:pPr>
            <w:r>
              <w:rPr>
                <w:rFonts w:ascii="Times New Roman" w:hAnsi="Times New Roman" w:cs="Times New Roman"/>
                <w:b w:val="0"/>
                <w:bCs w:val="0"/>
                <w:color w:val="000000"/>
                <w:sz w:val="16"/>
                <w:szCs w:val="16"/>
              </w:rPr>
              <w:t>(Black)</w:t>
            </w:r>
          </w:p>
        </w:tc>
        <w:tc>
          <w:tcPr>
            <w:tcW w:w="2909" w:type="dxa"/>
            <w:vAlign w:val="center"/>
          </w:tcPr>
          <w:p w14:paraId="1413DBE1" w14:textId="4D096A83" w:rsidR="0051103A" w:rsidRPr="0051103A" w:rsidRDefault="0051103A"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4"/>
                <w:szCs w:val="14"/>
              </w:rPr>
            </w:pPr>
            <w:r w:rsidRPr="0051103A">
              <w:rPr>
                <w:sz w:val="14"/>
                <w:szCs w:val="14"/>
              </w:rPr>
              <w:t xml:space="preserve">Iron oxides (and) Isononyl Isononanoate (and) Isopropyl </w:t>
            </w:r>
            <w:proofErr w:type="spellStart"/>
            <w:r w:rsidRPr="0051103A">
              <w:rPr>
                <w:sz w:val="14"/>
                <w:szCs w:val="14"/>
              </w:rPr>
              <w:t>Myistate</w:t>
            </w:r>
            <w:proofErr w:type="spellEnd"/>
            <w:r w:rsidRPr="0051103A">
              <w:rPr>
                <w:sz w:val="14"/>
                <w:szCs w:val="14"/>
              </w:rPr>
              <w:t xml:space="preserve"> (and) </w:t>
            </w:r>
            <w:proofErr w:type="spellStart"/>
            <w:r w:rsidRPr="0051103A">
              <w:rPr>
                <w:sz w:val="14"/>
                <w:szCs w:val="14"/>
              </w:rPr>
              <w:t>Stearalkonium</w:t>
            </w:r>
            <w:proofErr w:type="spellEnd"/>
            <w:r w:rsidRPr="0051103A">
              <w:rPr>
                <w:sz w:val="14"/>
                <w:szCs w:val="14"/>
              </w:rPr>
              <w:t xml:space="preserve"> Hectorite (and) </w:t>
            </w:r>
            <w:proofErr w:type="spellStart"/>
            <w:r w:rsidRPr="0051103A">
              <w:rPr>
                <w:sz w:val="14"/>
                <w:szCs w:val="14"/>
              </w:rPr>
              <w:t>Polyhydroysstearic</w:t>
            </w:r>
            <w:proofErr w:type="spellEnd"/>
            <w:r w:rsidRPr="0051103A">
              <w:rPr>
                <w:sz w:val="14"/>
                <w:szCs w:val="14"/>
              </w:rPr>
              <w:t xml:space="preserve"> Acid (and) Isopropyl Titanium </w:t>
            </w:r>
            <w:proofErr w:type="spellStart"/>
            <w:r w:rsidRPr="0051103A">
              <w:rPr>
                <w:sz w:val="14"/>
                <w:szCs w:val="14"/>
              </w:rPr>
              <w:t>Triisostearate</w:t>
            </w:r>
            <w:proofErr w:type="spellEnd"/>
            <w:r w:rsidRPr="0051103A">
              <w:rPr>
                <w:sz w:val="14"/>
                <w:szCs w:val="14"/>
              </w:rPr>
              <w:t xml:space="preserve"> (and) Propylene Carbonate</w:t>
            </w:r>
          </w:p>
        </w:tc>
        <w:tc>
          <w:tcPr>
            <w:tcW w:w="1578" w:type="dxa"/>
            <w:vAlign w:val="center"/>
          </w:tcPr>
          <w:p w14:paraId="58E70ED1" w14:textId="47E351DE" w:rsidR="0051103A" w:rsidRPr="0051103A" w:rsidRDefault="0051103A"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51103A">
              <w:rPr>
                <w:sz w:val="16"/>
                <w:szCs w:val="16"/>
              </w:rPr>
              <w:t>Kobo</w:t>
            </w:r>
          </w:p>
        </w:tc>
        <w:tc>
          <w:tcPr>
            <w:tcW w:w="790" w:type="dxa"/>
            <w:vAlign w:val="center"/>
          </w:tcPr>
          <w:p w14:paraId="33305E17" w14:textId="18488C8C" w:rsidR="0051103A" w:rsidRPr="00372E52" w:rsidRDefault="0051103A" w:rsidP="0051103A">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2.2</w:t>
            </w:r>
          </w:p>
        </w:tc>
      </w:tr>
      <w:tr w:rsidR="005C49BF" w:rsidRPr="00372E52" w14:paraId="3E709992"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5F6210F7" w14:textId="2B02250C" w:rsidR="005C49BF" w:rsidRPr="00372E52" w:rsidRDefault="005C49BF" w:rsidP="0051103A">
            <w:pPr>
              <w:jc w:val="center"/>
              <w:rPr>
                <w:rFonts w:ascii="Times New Roman" w:hAnsi="Times New Roman" w:cs="Times New Roman"/>
                <w:b w:val="0"/>
                <w:bCs w:val="0"/>
                <w:sz w:val="16"/>
                <w:szCs w:val="16"/>
              </w:rPr>
            </w:pPr>
            <w:r w:rsidRPr="00372E52">
              <w:rPr>
                <w:rFonts w:ascii="Times New Roman" w:hAnsi="Times New Roman" w:cs="Times New Roman"/>
                <w:b w:val="0"/>
                <w:bCs w:val="0"/>
                <w:color w:val="000000"/>
                <w:sz w:val="16"/>
                <w:szCs w:val="16"/>
              </w:rPr>
              <w:t>Polyderm PPI-CO-40</w:t>
            </w:r>
          </w:p>
        </w:tc>
        <w:tc>
          <w:tcPr>
            <w:tcW w:w="2909" w:type="dxa"/>
            <w:vAlign w:val="center"/>
            <w:hideMark/>
          </w:tcPr>
          <w:p w14:paraId="5031AB65" w14:textId="3E5D06EF" w:rsidR="005C49BF" w:rsidRPr="00372E52" w:rsidRDefault="005C49BF"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PEG-40 Hydrogenated Castor Oil/IPDI Copolymer</w:t>
            </w:r>
          </w:p>
        </w:tc>
        <w:tc>
          <w:tcPr>
            <w:tcW w:w="1578" w:type="dxa"/>
            <w:vAlign w:val="center"/>
            <w:hideMark/>
          </w:tcPr>
          <w:p w14:paraId="1C892F77" w14:textId="01153365" w:rsidR="005C49BF" w:rsidRPr="00372E52" w:rsidRDefault="005C49BF"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Alzo International</w:t>
            </w:r>
          </w:p>
        </w:tc>
        <w:tc>
          <w:tcPr>
            <w:tcW w:w="790" w:type="dxa"/>
            <w:vAlign w:val="center"/>
            <w:hideMark/>
          </w:tcPr>
          <w:p w14:paraId="55EE9FAD" w14:textId="6CB703B1" w:rsidR="005C49BF" w:rsidRPr="00372E52" w:rsidRDefault="005C49BF" w:rsidP="0051103A">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72E52">
              <w:rPr>
                <w:color w:val="000000"/>
                <w:sz w:val="16"/>
                <w:szCs w:val="16"/>
              </w:rPr>
              <w:t>4.9</w:t>
            </w:r>
          </w:p>
        </w:tc>
      </w:tr>
      <w:tr w:rsidR="003F3786" w:rsidRPr="00372E52" w14:paraId="2CD60A13" w14:textId="77777777" w:rsidTr="0051103A">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4BFB8610" w14:textId="77777777" w:rsidR="003F3786" w:rsidRPr="00372E52" w:rsidRDefault="003F3786" w:rsidP="0051103A">
            <w:pPr>
              <w:jc w:val="center"/>
              <w:rPr>
                <w:rFonts w:ascii="Times New Roman" w:hAnsi="Times New Roman" w:cs="Times New Roman"/>
                <w:b w:val="0"/>
                <w:bCs w:val="0"/>
                <w:sz w:val="16"/>
                <w:szCs w:val="16"/>
              </w:rPr>
            </w:pPr>
          </w:p>
        </w:tc>
        <w:tc>
          <w:tcPr>
            <w:tcW w:w="2909" w:type="dxa"/>
            <w:vAlign w:val="center"/>
          </w:tcPr>
          <w:p w14:paraId="0B52E88F" w14:textId="77777777" w:rsidR="003F3786" w:rsidRPr="00372E52" w:rsidRDefault="003F3786"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1578" w:type="dxa"/>
            <w:vAlign w:val="center"/>
          </w:tcPr>
          <w:p w14:paraId="06B07A23" w14:textId="77777777" w:rsidR="003F3786" w:rsidRPr="00372E52" w:rsidRDefault="003F3786"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790" w:type="dxa"/>
            <w:vAlign w:val="center"/>
          </w:tcPr>
          <w:p w14:paraId="3B4A4F6E" w14:textId="77777777" w:rsidR="003F3786" w:rsidRPr="00372E52" w:rsidRDefault="003F3786" w:rsidP="0051103A">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r>
      <w:tr w:rsidR="003F3786" w:rsidRPr="00372E52" w14:paraId="7850641B" w14:textId="77777777" w:rsidTr="0051103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1" w:type="dxa"/>
            <w:vAlign w:val="center"/>
            <w:hideMark/>
          </w:tcPr>
          <w:p w14:paraId="029E1751" w14:textId="77777777" w:rsidR="003F3786" w:rsidRPr="00372E52" w:rsidRDefault="003F3786" w:rsidP="0051103A">
            <w:pPr>
              <w:jc w:val="center"/>
              <w:rPr>
                <w:rFonts w:ascii="Times New Roman" w:hAnsi="Times New Roman" w:cs="Times New Roman"/>
                <w:sz w:val="16"/>
                <w:szCs w:val="16"/>
              </w:rPr>
            </w:pPr>
            <w:r w:rsidRPr="00372E52">
              <w:rPr>
                <w:rFonts w:ascii="Times New Roman" w:hAnsi="Times New Roman" w:cs="Times New Roman"/>
                <w:sz w:val="16"/>
                <w:szCs w:val="16"/>
              </w:rPr>
              <w:t>Total</w:t>
            </w:r>
          </w:p>
        </w:tc>
        <w:tc>
          <w:tcPr>
            <w:tcW w:w="2909" w:type="dxa"/>
            <w:vAlign w:val="center"/>
            <w:hideMark/>
          </w:tcPr>
          <w:p w14:paraId="05F11E33" w14:textId="4E8AC988" w:rsidR="003F3786" w:rsidRPr="00372E52" w:rsidRDefault="003F3786" w:rsidP="0051103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78" w:type="dxa"/>
            <w:vAlign w:val="center"/>
            <w:hideMark/>
          </w:tcPr>
          <w:p w14:paraId="0E203E9C" w14:textId="3D62578C" w:rsidR="003F3786" w:rsidRPr="00372E52" w:rsidRDefault="003F3786" w:rsidP="0051103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90" w:type="dxa"/>
            <w:vAlign w:val="center"/>
            <w:hideMark/>
          </w:tcPr>
          <w:p w14:paraId="060E93FF" w14:textId="29D2D71C" w:rsidR="003F3786" w:rsidRPr="00372E52" w:rsidRDefault="003F3786" w:rsidP="0051103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372E52">
              <w:rPr>
                <w:b/>
                <w:bCs/>
                <w:sz w:val="16"/>
                <w:szCs w:val="16"/>
              </w:rPr>
              <w:t>100</w:t>
            </w:r>
            <w:r w:rsidR="00EA0CF9" w:rsidRPr="00372E52">
              <w:rPr>
                <w:b/>
                <w:bCs/>
                <w:sz w:val="16"/>
                <w:szCs w:val="16"/>
              </w:rPr>
              <w:t>.0</w:t>
            </w:r>
          </w:p>
        </w:tc>
      </w:tr>
    </w:tbl>
    <w:p w14:paraId="5E81473C" w14:textId="77777777" w:rsidR="0051103A" w:rsidRDefault="0051103A" w:rsidP="004B11DF">
      <w:pPr>
        <w:rPr>
          <w:b/>
          <w:u w:val="single"/>
        </w:rPr>
      </w:pPr>
    </w:p>
    <w:p w14:paraId="4F6867B0" w14:textId="77777777" w:rsidR="0051103A" w:rsidRDefault="0051103A" w:rsidP="004B11DF">
      <w:pPr>
        <w:rPr>
          <w:b/>
          <w:u w:val="single"/>
        </w:rPr>
      </w:pPr>
    </w:p>
    <w:p w14:paraId="09639DB9" w14:textId="2096AC9B" w:rsidR="00165036" w:rsidRDefault="00AB0BC1" w:rsidP="004B11DF">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4B11DF"/>
    <w:p w14:paraId="37F4D18F" w14:textId="5FDAAC66" w:rsidR="004A1F49" w:rsidRDefault="004A1F49" w:rsidP="004A1F49">
      <w:pPr>
        <w:numPr>
          <w:ilvl w:val="0"/>
          <w:numId w:val="2"/>
        </w:numPr>
        <w:ind w:left="360"/>
        <w:jc w:val="both"/>
      </w:pPr>
      <w:r w:rsidRPr="004A1F49">
        <w:t>In a beaker add the Nu</w:t>
      </w:r>
      <w:r w:rsidR="0031052B">
        <w:t>L</w:t>
      </w:r>
      <w:r w:rsidRPr="004A1F49">
        <w:t xml:space="preserve">astic elastomer and mix with a propeller blade.  </w:t>
      </w:r>
    </w:p>
    <w:p w14:paraId="12CCF8C0" w14:textId="1A0D7191" w:rsidR="004A1F49" w:rsidRDefault="00A73445" w:rsidP="004A1F49">
      <w:pPr>
        <w:numPr>
          <w:ilvl w:val="0"/>
          <w:numId w:val="2"/>
        </w:numPr>
        <w:ind w:left="360"/>
        <w:jc w:val="both"/>
      </w:pPr>
      <w:r>
        <w:t>Dissolve the colorant &amp; preservative in the water, then g</w:t>
      </w:r>
      <w:r w:rsidR="004A1F49" w:rsidRPr="004A1F49">
        <w:t xml:space="preserve">radually add into the gel. </w:t>
      </w:r>
      <w:r w:rsidR="004A1F49">
        <w:t>Once incorporated, heat to 75-80° C.</w:t>
      </w:r>
    </w:p>
    <w:p w14:paraId="7A9222B2" w14:textId="1443EBB8" w:rsidR="004A1F49" w:rsidRDefault="004A1F49" w:rsidP="004A1F49">
      <w:pPr>
        <w:numPr>
          <w:ilvl w:val="0"/>
          <w:numId w:val="2"/>
        </w:numPr>
        <w:ind w:left="360"/>
        <w:jc w:val="both"/>
      </w:pPr>
      <w:r w:rsidRPr="004A1F49">
        <w:t>Mix and melt ingredients in Phase B and heat to 75-80⁰</w:t>
      </w:r>
      <w:r>
        <w:t xml:space="preserve"> </w:t>
      </w:r>
      <w:r w:rsidR="00A73445">
        <w:t xml:space="preserve">C. </w:t>
      </w:r>
      <w:r>
        <w:t xml:space="preserve">Once melted, </w:t>
      </w:r>
      <w:r w:rsidR="00A73445">
        <w:t>premix Phase C, add to Phase B and mix until</w:t>
      </w:r>
      <w:r>
        <w:t xml:space="preserve"> homogenous.</w:t>
      </w:r>
    </w:p>
    <w:p w14:paraId="531B94B7" w14:textId="0910B9B8" w:rsidR="00771F60" w:rsidRDefault="004A1F49" w:rsidP="004A1F49">
      <w:pPr>
        <w:numPr>
          <w:ilvl w:val="0"/>
          <w:numId w:val="2"/>
        </w:numPr>
        <w:ind w:left="360"/>
        <w:jc w:val="both"/>
      </w:pPr>
      <w:r w:rsidRPr="004A1F49">
        <w:t xml:space="preserve">Add Phase A to </w:t>
      </w:r>
      <w:r>
        <w:t>waxes</w:t>
      </w:r>
      <w:r w:rsidRPr="004A1F49">
        <w:t xml:space="preserve"> with mixing until homogeneous. Fill into mold at 75-80⁰ C and chill.</w:t>
      </w:r>
    </w:p>
    <w:p w14:paraId="2BA77D93" w14:textId="69470530" w:rsidR="00300159" w:rsidRDefault="00300159" w:rsidP="004A1F49">
      <w:pPr>
        <w:jc w:val="both"/>
      </w:pPr>
    </w:p>
    <w:p w14:paraId="649EFF7E" w14:textId="77777777" w:rsidR="00CD6E01" w:rsidRPr="00F35637" w:rsidRDefault="00CD6E01" w:rsidP="004A1F49">
      <w:pPr>
        <w:jc w:val="both"/>
      </w:pPr>
    </w:p>
    <w:p w14:paraId="53893077" w14:textId="5E00C5CD" w:rsidR="00D4054A" w:rsidRDefault="008F2D4B" w:rsidP="004A1F49">
      <w:pPr>
        <w:jc w:val="both"/>
      </w:pPr>
      <w:r w:rsidRPr="00F35637">
        <w:rPr>
          <w:b/>
          <w:u w:val="single"/>
        </w:rPr>
        <w:t xml:space="preserve">Alzo </w:t>
      </w:r>
      <w:r w:rsidR="00D71DC6" w:rsidRPr="00F35637">
        <w:rPr>
          <w:b/>
          <w:u w:val="single"/>
        </w:rPr>
        <w:t>Ingredient Benefits</w:t>
      </w:r>
      <w:r w:rsidR="00D71DC6" w:rsidRPr="00F35637">
        <w:t>:</w:t>
      </w:r>
    </w:p>
    <w:p w14:paraId="14832F07" w14:textId="77777777" w:rsidR="00D522D9" w:rsidRPr="00D522D9" w:rsidRDefault="00D522D9" w:rsidP="004A1F49">
      <w:pPr>
        <w:jc w:val="both"/>
        <w:rPr>
          <w:bCs/>
        </w:rPr>
      </w:pPr>
    </w:p>
    <w:p w14:paraId="0847F3B8" w14:textId="51BD1550" w:rsidR="00D522D9" w:rsidRDefault="004A1F49" w:rsidP="004A1F49">
      <w:pPr>
        <w:jc w:val="both"/>
        <w:rPr>
          <w:bCs/>
        </w:rPr>
      </w:pPr>
      <w:r w:rsidRPr="004A1F49">
        <w:rPr>
          <w:b/>
          <w:bCs/>
        </w:rPr>
        <w:t xml:space="preserve">Dermol DGDIS </w:t>
      </w:r>
      <w:r w:rsidR="00D522D9" w:rsidRPr="00D522D9">
        <w:rPr>
          <w:b/>
        </w:rPr>
        <w:t xml:space="preserve">– </w:t>
      </w:r>
      <w:r w:rsidRPr="004A1F49">
        <w:rPr>
          <w:bCs/>
        </w:rPr>
        <w:t>Good pigment</w:t>
      </w:r>
      <w:r>
        <w:rPr>
          <w:bCs/>
        </w:rPr>
        <w:t>-</w:t>
      </w:r>
      <w:r w:rsidRPr="004A1F49">
        <w:rPr>
          <w:bCs/>
        </w:rPr>
        <w:t>wetting ester</w:t>
      </w:r>
      <w:r>
        <w:rPr>
          <w:bCs/>
        </w:rPr>
        <w:t xml:space="preserve"> that </w:t>
      </w:r>
      <w:r w:rsidRPr="004A1F49">
        <w:rPr>
          <w:bCs/>
        </w:rPr>
        <w:t xml:space="preserve">imparts gloss, </w:t>
      </w:r>
      <w:r>
        <w:rPr>
          <w:bCs/>
        </w:rPr>
        <w:t xml:space="preserve">and </w:t>
      </w:r>
      <w:r w:rsidRPr="004A1F49">
        <w:rPr>
          <w:bCs/>
        </w:rPr>
        <w:t>substantiv</w:t>
      </w:r>
      <w:r>
        <w:rPr>
          <w:bCs/>
        </w:rPr>
        <w:t>ity to the lips</w:t>
      </w:r>
      <w:r w:rsidR="00A73445">
        <w:rPr>
          <w:bCs/>
        </w:rPr>
        <w:t>. Improves deposit of pigments onto hair or eyelashes.</w:t>
      </w:r>
    </w:p>
    <w:p w14:paraId="4A143E74" w14:textId="77777777" w:rsidR="006A0F73" w:rsidRDefault="006A0F73" w:rsidP="006A0F73">
      <w:pPr>
        <w:rPr>
          <w:b/>
          <w:bCs/>
        </w:rPr>
      </w:pPr>
    </w:p>
    <w:p w14:paraId="475F1298" w14:textId="6733D236" w:rsidR="006A0F73" w:rsidRPr="009039CF" w:rsidRDefault="006A0F73" w:rsidP="006A0F73">
      <w:pPr>
        <w:rPr>
          <w:b/>
          <w:bCs/>
        </w:rPr>
      </w:pPr>
      <w:proofErr w:type="spellStart"/>
      <w:r w:rsidRPr="009039CF">
        <w:rPr>
          <w:b/>
          <w:bCs/>
        </w:rPr>
        <w:t>Dermowax</w:t>
      </w:r>
      <w:proofErr w:type="spellEnd"/>
      <w:r w:rsidRPr="009039CF">
        <w:rPr>
          <w:b/>
          <w:bCs/>
        </w:rPr>
        <w:t xml:space="preserve"> BB – </w:t>
      </w:r>
      <w:r w:rsidRPr="009039CF">
        <w:t xml:space="preserve">waxy ester that adds </w:t>
      </w:r>
      <w:r>
        <w:t xml:space="preserve">structure &amp; </w:t>
      </w:r>
      <w:r w:rsidRPr="009039CF">
        <w:t xml:space="preserve">payoff to the formula and provides substantivity to </w:t>
      </w:r>
      <w:r>
        <w:t xml:space="preserve">lips, </w:t>
      </w:r>
      <w:r w:rsidRPr="009039CF">
        <w:t>skin and hair.  MP</w:t>
      </w:r>
      <w:r>
        <w:t>:</w:t>
      </w:r>
      <w:r w:rsidRPr="009039CF">
        <w:t xml:space="preserve"> 70</w:t>
      </w:r>
      <w:r>
        <w:t>° C</w:t>
      </w:r>
    </w:p>
    <w:p w14:paraId="3F29D8FB" w14:textId="4375E642" w:rsidR="00956C72" w:rsidRDefault="00956C72" w:rsidP="004A1F49">
      <w:pPr>
        <w:jc w:val="both"/>
        <w:rPr>
          <w:bCs/>
        </w:rPr>
      </w:pPr>
    </w:p>
    <w:p w14:paraId="6C304160" w14:textId="32A27F60" w:rsidR="00956C72" w:rsidRDefault="00956C72" w:rsidP="00956C72">
      <w:pPr>
        <w:jc w:val="both"/>
        <w:rPr>
          <w:bCs/>
        </w:rPr>
      </w:pPr>
      <w:bookmarkStart w:id="0" w:name="_Hlk39565059"/>
      <w:r w:rsidRPr="004A1F49">
        <w:rPr>
          <w:b/>
          <w:bCs/>
        </w:rPr>
        <w:t>Nu</w:t>
      </w:r>
      <w:r w:rsidR="002C3ADF">
        <w:rPr>
          <w:b/>
          <w:bCs/>
        </w:rPr>
        <w:t>L</w:t>
      </w:r>
      <w:r w:rsidRPr="004A1F49">
        <w:rPr>
          <w:b/>
          <w:bCs/>
        </w:rPr>
        <w:t>astic Slip D99-9</w:t>
      </w:r>
      <w:r>
        <w:rPr>
          <w:b/>
          <w:bCs/>
        </w:rPr>
        <w:t xml:space="preserve"> </w:t>
      </w:r>
      <w:r w:rsidRPr="00D522D9">
        <w:rPr>
          <w:bCs/>
        </w:rPr>
        <w:t xml:space="preserve">– </w:t>
      </w:r>
      <w:r w:rsidRPr="004A1F49">
        <w:rPr>
          <w:bCs/>
        </w:rPr>
        <w:t xml:space="preserve">Silicone </w:t>
      </w:r>
      <w:r>
        <w:rPr>
          <w:bCs/>
        </w:rPr>
        <w:t>e</w:t>
      </w:r>
      <w:r w:rsidRPr="004A1F49">
        <w:rPr>
          <w:bCs/>
        </w:rPr>
        <w:t xml:space="preserve">lastomer </w:t>
      </w:r>
      <w:r>
        <w:rPr>
          <w:bCs/>
        </w:rPr>
        <w:t>with</w:t>
      </w:r>
      <w:r w:rsidRPr="004A1F49">
        <w:rPr>
          <w:bCs/>
        </w:rPr>
        <w:t xml:space="preserve"> PEG </w:t>
      </w:r>
      <w:r>
        <w:rPr>
          <w:bCs/>
        </w:rPr>
        <w:t>crosslinking that</w:t>
      </w:r>
      <w:r w:rsidRPr="004A1F49">
        <w:rPr>
          <w:bCs/>
        </w:rPr>
        <w:t xml:space="preserve"> allows incorporation of water &amp; water compatible ingredients</w:t>
      </w:r>
      <w:r>
        <w:rPr>
          <w:bCs/>
        </w:rPr>
        <w:t>, such as</w:t>
      </w:r>
      <w:r w:rsidRPr="004A1F49">
        <w:rPr>
          <w:bCs/>
        </w:rPr>
        <w:t xml:space="preserve"> glycerin</w:t>
      </w:r>
      <w:r>
        <w:rPr>
          <w:bCs/>
        </w:rPr>
        <w:t>.</w:t>
      </w:r>
    </w:p>
    <w:bookmarkEnd w:id="0"/>
    <w:p w14:paraId="632B172D" w14:textId="072506D2" w:rsidR="004A1F49" w:rsidRDefault="004A1F49" w:rsidP="004A1F49">
      <w:pPr>
        <w:jc w:val="both"/>
        <w:rPr>
          <w:bCs/>
        </w:rPr>
      </w:pPr>
    </w:p>
    <w:p w14:paraId="76424CE9" w14:textId="00E594F5" w:rsidR="004A1F49" w:rsidRPr="00D522D9" w:rsidRDefault="004A1F49" w:rsidP="004A1F49">
      <w:pPr>
        <w:jc w:val="both"/>
        <w:rPr>
          <w:bCs/>
        </w:rPr>
      </w:pPr>
      <w:r w:rsidRPr="004A1F49">
        <w:rPr>
          <w:b/>
          <w:bCs/>
        </w:rPr>
        <w:t>Polyderm PPI-CO</w:t>
      </w:r>
      <w:r w:rsidR="00A73445">
        <w:rPr>
          <w:b/>
          <w:bCs/>
        </w:rPr>
        <w:t>-200</w:t>
      </w:r>
      <w:r w:rsidRPr="004A1F49">
        <w:rPr>
          <w:b/>
          <w:bCs/>
        </w:rPr>
        <w:t xml:space="preserve"> </w:t>
      </w:r>
      <w:r w:rsidRPr="00D522D9">
        <w:rPr>
          <w:b/>
        </w:rPr>
        <w:t xml:space="preserve">– </w:t>
      </w:r>
      <w:r w:rsidR="00181A0B">
        <w:rPr>
          <w:bCs/>
        </w:rPr>
        <w:t>water-soluble polymer derived from C</w:t>
      </w:r>
      <w:r w:rsidRPr="004A1F49">
        <w:rPr>
          <w:bCs/>
        </w:rPr>
        <w:t xml:space="preserve">astor Oil, </w:t>
      </w:r>
      <w:r>
        <w:rPr>
          <w:bCs/>
        </w:rPr>
        <w:t xml:space="preserve">which provides </w:t>
      </w:r>
      <w:r w:rsidR="00181A0B" w:rsidRPr="00181A0B">
        <w:rPr>
          <w:bCs/>
        </w:rPr>
        <w:t>lubricity and slip to both skin and hair products</w:t>
      </w:r>
      <w:r>
        <w:rPr>
          <w:bCs/>
        </w:rPr>
        <w:t>.</w:t>
      </w:r>
    </w:p>
    <w:p w14:paraId="3283683A" w14:textId="77777777" w:rsidR="004A1F49" w:rsidRPr="00D522D9" w:rsidRDefault="004A1F49" w:rsidP="004A1F49">
      <w:pPr>
        <w:jc w:val="both"/>
        <w:rPr>
          <w:bCs/>
        </w:rPr>
      </w:pPr>
    </w:p>
    <w:p w14:paraId="5EE77661" w14:textId="73911537" w:rsidR="007A4900" w:rsidRPr="00F35637" w:rsidRDefault="007A4900" w:rsidP="00D522D9"/>
    <w:sectPr w:rsidR="007A4900" w:rsidRPr="00F35637" w:rsidSect="00E203AD">
      <w:headerReference w:type="default" r:id="rId8"/>
      <w:footerReference w:type="default" r:id="rId9"/>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3B34A" w14:textId="77777777" w:rsidR="008D0AB2" w:rsidRDefault="008D0AB2" w:rsidP="00DD08EC">
      <w:r>
        <w:separator/>
      </w:r>
    </w:p>
  </w:endnote>
  <w:endnote w:type="continuationSeparator" w:id="0">
    <w:p w14:paraId="2B8DF629" w14:textId="77777777" w:rsidR="008D0AB2" w:rsidRDefault="008D0AB2"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9ADD1" w14:textId="77777777" w:rsidR="008D0AB2" w:rsidRDefault="008D0AB2" w:rsidP="00DD08EC">
      <w:r>
        <w:separator/>
      </w:r>
    </w:p>
  </w:footnote>
  <w:footnote w:type="continuationSeparator" w:id="0">
    <w:p w14:paraId="161C6E1E" w14:textId="77777777" w:rsidR="008D0AB2" w:rsidRDefault="008D0AB2"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Default="00F35637" w:rsidP="00F35637">
    <w:pPr>
      <w:jc w:val="center"/>
      <w:rPr>
        <w:color w:val="FF0000"/>
        <w:sz w:val="20"/>
      </w:rPr>
    </w:pPr>
  </w:p>
  <w:p w14:paraId="0AABE829" w14:textId="1B23E6D0" w:rsidR="00F35637" w:rsidRDefault="00F35637" w:rsidP="00F35637">
    <w:pPr>
      <w:jc w:val="center"/>
      <w:rPr>
        <w:color w:val="CA1E3D"/>
        <w:sz w:val="20"/>
      </w:rPr>
    </w:pPr>
    <w:r w:rsidRPr="00662412">
      <w:rPr>
        <w:color w:val="CA1E3D"/>
        <w:sz w:val="20"/>
      </w:rPr>
      <w:t>650 Jernee Mill Road   Sayreville,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14077"/>
    <w:rsid w:val="00035AD5"/>
    <w:rsid w:val="000412EA"/>
    <w:rsid w:val="0005484D"/>
    <w:rsid w:val="00091F10"/>
    <w:rsid w:val="000A755D"/>
    <w:rsid w:val="000B3C41"/>
    <w:rsid w:val="000C4142"/>
    <w:rsid w:val="000D3088"/>
    <w:rsid w:val="000F677D"/>
    <w:rsid w:val="00115A48"/>
    <w:rsid w:val="00123EF8"/>
    <w:rsid w:val="001252AA"/>
    <w:rsid w:val="0012724E"/>
    <w:rsid w:val="00131045"/>
    <w:rsid w:val="0015023A"/>
    <w:rsid w:val="00165036"/>
    <w:rsid w:val="00181A0B"/>
    <w:rsid w:val="00184322"/>
    <w:rsid w:val="001D4615"/>
    <w:rsid w:val="001D7366"/>
    <w:rsid w:val="001E2E10"/>
    <w:rsid w:val="001E516E"/>
    <w:rsid w:val="001E7529"/>
    <w:rsid w:val="001F0FA4"/>
    <w:rsid w:val="002048AD"/>
    <w:rsid w:val="00246952"/>
    <w:rsid w:val="00253A8D"/>
    <w:rsid w:val="00265CC9"/>
    <w:rsid w:val="00294F4D"/>
    <w:rsid w:val="002A1904"/>
    <w:rsid w:val="002A45EA"/>
    <w:rsid w:val="002B2D6B"/>
    <w:rsid w:val="002B74B2"/>
    <w:rsid w:val="002C3ADF"/>
    <w:rsid w:val="002D0969"/>
    <w:rsid w:val="002D2761"/>
    <w:rsid w:val="002D534A"/>
    <w:rsid w:val="002E5CEE"/>
    <w:rsid w:val="002F2CB9"/>
    <w:rsid w:val="002F4873"/>
    <w:rsid w:val="00300159"/>
    <w:rsid w:val="003020B2"/>
    <w:rsid w:val="00306CA1"/>
    <w:rsid w:val="0031052B"/>
    <w:rsid w:val="00311174"/>
    <w:rsid w:val="00317DFA"/>
    <w:rsid w:val="00326ADB"/>
    <w:rsid w:val="00337ED0"/>
    <w:rsid w:val="0035318F"/>
    <w:rsid w:val="00357E6D"/>
    <w:rsid w:val="00364322"/>
    <w:rsid w:val="003667F6"/>
    <w:rsid w:val="00372E52"/>
    <w:rsid w:val="0038161F"/>
    <w:rsid w:val="00395D9F"/>
    <w:rsid w:val="003A72DF"/>
    <w:rsid w:val="003F3786"/>
    <w:rsid w:val="003F778A"/>
    <w:rsid w:val="00403322"/>
    <w:rsid w:val="0041405B"/>
    <w:rsid w:val="004377E7"/>
    <w:rsid w:val="00437827"/>
    <w:rsid w:val="00486C58"/>
    <w:rsid w:val="004A090C"/>
    <w:rsid w:val="004A1F49"/>
    <w:rsid w:val="004B119E"/>
    <w:rsid w:val="004B11DF"/>
    <w:rsid w:val="004C0464"/>
    <w:rsid w:val="004C5294"/>
    <w:rsid w:val="004D57EA"/>
    <w:rsid w:val="004F1D7C"/>
    <w:rsid w:val="004F23B7"/>
    <w:rsid w:val="004F31F6"/>
    <w:rsid w:val="00506327"/>
    <w:rsid w:val="00506E40"/>
    <w:rsid w:val="0051103A"/>
    <w:rsid w:val="0051653D"/>
    <w:rsid w:val="00524F61"/>
    <w:rsid w:val="00527946"/>
    <w:rsid w:val="005317BE"/>
    <w:rsid w:val="00536815"/>
    <w:rsid w:val="00542754"/>
    <w:rsid w:val="00564BE0"/>
    <w:rsid w:val="00567539"/>
    <w:rsid w:val="005C49BF"/>
    <w:rsid w:val="005D461B"/>
    <w:rsid w:val="005F4EA0"/>
    <w:rsid w:val="006434D5"/>
    <w:rsid w:val="00646031"/>
    <w:rsid w:val="00650628"/>
    <w:rsid w:val="00652E98"/>
    <w:rsid w:val="0065753F"/>
    <w:rsid w:val="00661976"/>
    <w:rsid w:val="006A0F73"/>
    <w:rsid w:val="006A36DF"/>
    <w:rsid w:val="006A3BA9"/>
    <w:rsid w:val="006C2687"/>
    <w:rsid w:val="006C2A10"/>
    <w:rsid w:val="006D04C9"/>
    <w:rsid w:val="006E1A18"/>
    <w:rsid w:val="00703549"/>
    <w:rsid w:val="00707873"/>
    <w:rsid w:val="00710BC2"/>
    <w:rsid w:val="00743E59"/>
    <w:rsid w:val="00753AAD"/>
    <w:rsid w:val="00770DAC"/>
    <w:rsid w:val="00771F60"/>
    <w:rsid w:val="0078239F"/>
    <w:rsid w:val="00784C85"/>
    <w:rsid w:val="007851B0"/>
    <w:rsid w:val="00787F1B"/>
    <w:rsid w:val="00792CE4"/>
    <w:rsid w:val="00794E26"/>
    <w:rsid w:val="00796CA0"/>
    <w:rsid w:val="007A4900"/>
    <w:rsid w:val="007D5137"/>
    <w:rsid w:val="007D654A"/>
    <w:rsid w:val="007E68AA"/>
    <w:rsid w:val="007F022A"/>
    <w:rsid w:val="00801D7D"/>
    <w:rsid w:val="0081138E"/>
    <w:rsid w:val="00815553"/>
    <w:rsid w:val="00822F09"/>
    <w:rsid w:val="00830F5F"/>
    <w:rsid w:val="00840C7A"/>
    <w:rsid w:val="00844953"/>
    <w:rsid w:val="008471C4"/>
    <w:rsid w:val="00866F09"/>
    <w:rsid w:val="00875933"/>
    <w:rsid w:val="008D0598"/>
    <w:rsid w:val="008D0AB2"/>
    <w:rsid w:val="008D4725"/>
    <w:rsid w:val="008F2D4B"/>
    <w:rsid w:val="0090061B"/>
    <w:rsid w:val="00907981"/>
    <w:rsid w:val="00917B67"/>
    <w:rsid w:val="0092347B"/>
    <w:rsid w:val="00945EF6"/>
    <w:rsid w:val="00956C72"/>
    <w:rsid w:val="00962F79"/>
    <w:rsid w:val="00965AA6"/>
    <w:rsid w:val="009830F5"/>
    <w:rsid w:val="00993BA7"/>
    <w:rsid w:val="009E7B44"/>
    <w:rsid w:val="009F7A35"/>
    <w:rsid w:val="00A05549"/>
    <w:rsid w:val="00A203BB"/>
    <w:rsid w:val="00A3294C"/>
    <w:rsid w:val="00A404D9"/>
    <w:rsid w:val="00A42560"/>
    <w:rsid w:val="00A47AE5"/>
    <w:rsid w:val="00A70D24"/>
    <w:rsid w:val="00A73132"/>
    <w:rsid w:val="00A73445"/>
    <w:rsid w:val="00AB0BC1"/>
    <w:rsid w:val="00B10DCD"/>
    <w:rsid w:val="00B1169B"/>
    <w:rsid w:val="00B45D69"/>
    <w:rsid w:val="00B5254E"/>
    <w:rsid w:val="00B6209D"/>
    <w:rsid w:val="00B63F1E"/>
    <w:rsid w:val="00B74B58"/>
    <w:rsid w:val="00B816EB"/>
    <w:rsid w:val="00BB01C3"/>
    <w:rsid w:val="00BB4EE3"/>
    <w:rsid w:val="00BC4E69"/>
    <w:rsid w:val="00BD5E55"/>
    <w:rsid w:val="00BE3194"/>
    <w:rsid w:val="00BF5433"/>
    <w:rsid w:val="00C622C8"/>
    <w:rsid w:val="00C75CB9"/>
    <w:rsid w:val="00C80FB5"/>
    <w:rsid w:val="00C95468"/>
    <w:rsid w:val="00CB49C7"/>
    <w:rsid w:val="00CD1783"/>
    <w:rsid w:val="00CD6E01"/>
    <w:rsid w:val="00CE15BD"/>
    <w:rsid w:val="00CF1AF4"/>
    <w:rsid w:val="00D074A1"/>
    <w:rsid w:val="00D10EC5"/>
    <w:rsid w:val="00D21B79"/>
    <w:rsid w:val="00D4054A"/>
    <w:rsid w:val="00D522D9"/>
    <w:rsid w:val="00D56A9D"/>
    <w:rsid w:val="00D56B8F"/>
    <w:rsid w:val="00D71DC6"/>
    <w:rsid w:val="00D9225E"/>
    <w:rsid w:val="00D93AC0"/>
    <w:rsid w:val="00DD08EC"/>
    <w:rsid w:val="00DD6E6C"/>
    <w:rsid w:val="00DE4670"/>
    <w:rsid w:val="00DE4CF1"/>
    <w:rsid w:val="00DF5308"/>
    <w:rsid w:val="00E203AD"/>
    <w:rsid w:val="00E21E10"/>
    <w:rsid w:val="00E53406"/>
    <w:rsid w:val="00E5402E"/>
    <w:rsid w:val="00E658FD"/>
    <w:rsid w:val="00E715EF"/>
    <w:rsid w:val="00E75B24"/>
    <w:rsid w:val="00E77BC1"/>
    <w:rsid w:val="00E847FF"/>
    <w:rsid w:val="00E924BC"/>
    <w:rsid w:val="00EA0CF9"/>
    <w:rsid w:val="00EE5897"/>
    <w:rsid w:val="00F1137E"/>
    <w:rsid w:val="00F266B6"/>
    <w:rsid w:val="00F35637"/>
    <w:rsid w:val="00F424E1"/>
    <w:rsid w:val="00F67B20"/>
    <w:rsid w:val="00F70D3D"/>
    <w:rsid w:val="00F81BCC"/>
    <w:rsid w:val="00F84F51"/>
    <w:rsid w:val="00F850D1"/>
    <w:rsid w:val="00FA0AF2"/>
    <w:rsid w:val="00FA217E"/>
    <w:rsid w:val="00FC26E9"/>
    <w:rsid w:val="00F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 w:type="paragraph" w:styleId="NormalWeb">
    <w:name w:val="Normal (Web)"/>
    <w:basedOn w:val="Normal"/>
    <w:uiPriority w:val="99"/>
    <w:semiHidden/>
    <w:unhideWhenUsed/>
    <w:rsid w:val="00D074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7563162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112518">
      <w:bodyDiv w:val="1"/>
      <w:marLeft w:val="0"/>
      <w:marRight w:val="0"/>
      <w:marTop w:val="0"/>
      <w:marBottom w:val="0"/>
      <w:divBdr>
        <w:top w:val="none" w:sz="0" w:space="0" w:color="auto"/>
        <w:left w:val="none" w:sz="0" w:space="0" w:color="auto"/>
        <w:bottom w:val="none" w:sz="0" w:space="0" w:color="auto"/>
        <w:right w:val="none" w:sz="0" w:space="0" w:color="auto"/>
      </w:divBdr>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39469815">
      <w:bodyDiv w:val="1"/>
      <w:marLeft w:val="0"/>
      <w:marRight w:val="0"/>
      <w:marTop w:val="0"/>
      <w:marBottom w:val="0"/>
      <w:divBdr>
        <w:top w:val="none" w:sz="0" w:space="0" w:color="auto"/>
        <w:left w:val="none" w:sz="0" w:space="0" w:color="auto"/>
        <w:bottom w:val="none" w:sz="0" w:space="0" w:color="auto"/>
        <w:right w:val="none" w:sz="0" w:space="0" w:color="auto"/>
      </w:divBdr>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968631543">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1912930618">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B4A74-B721-4A67-8F70-36025F60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5</cp:revision>
  <cp:lastPrinted>2014-10-30T13:35:00Z</cp:lastPrinted>
  <dcterms:created xsi:type="dcterms:W3CDTF">2020-06-15T18:46:00Z</dcterms:created>
  <dcterms:modified xsi:type="dcterms:W3CDTF">2020-09-23T19:21:00Z</dcterms:modified>
</cp:coreProperties>
</file>